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tbl>
      <w:tblPr>
        <w:tblW w:w="9353"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661"/>
        <w:gridCol w:w="7692"/>
      </w:tblGrid>
      <w:tr w:rsidR="0015603F" w:rsidRPr="008314A9" w14:paraId="1CA17EA7" w14:textId="77777777" w:rsidTr="0015603F">
        <w:trPr>
          <w:trHeight w:val="285"/>
        </w:trPr>
        <w:tc>
          <w:tcPr>
            <w:tcW w:w="1661" w:type="dxa"/>
            <w:tcBorders>
              <w:top w:val="single" w:sz="2" w:space="0" w:color="auto"/>
              <w:left w:val="single" w:sz="2" w:space="0" w:color="auto"/>
              <w:bottom w:val="single" w:sz="6" w:space="0" w:color="auto"/>
              <w:right w:val="single" w:sz="6" w:space="0" w:color="auto"/>
            </w:tcBorders>
            <w:hideMark/>
          </w:tcPr>
          <w:p w14:paraId="70B3E87A" w14:textId="77777777" w:rsidR="0015603F" w:rsidRPr="008314A9" w:rsidRDefault="0015603F" w:rsidP="008314A9">
            <w:pPr>
              <w:spacing w:after="0" w:line="240" w:lineRule="auto"/>
              <w:textAlignment w:val="baseline"/>
              <w:rPr>
                <w:rFonts w:ascii="Segoe UI" w:eastAsia="Times New Roman" w:hAnsi="Segoe UI" w:cs="Segoe UI"/>
                <w:kern w:val="0"/>
                <w:sz w:val="18"/>
                <w:szCs w:val="18"/>
                <w:lang w:eastAsia="en-GB"/>
                <w14:ligatures w14:val="none"/>
              </w:rPr>
            </w:pPr>
            <w:r w:rsidRPr="008314A9">
              <w:rPr>
                <w:rFonts w:ascii="Arial" w:eastAsia="Times New Roman" w:hAnsi="Arial" w:cs="Arial"/>
                <w:b/>
                <w:bCs/>
                <w:color w:val="27251E"/>
                <w:kern w:val="0"/>
                <w:sz w:val="22"/>
                <w:szCs w:val="22"/>
                <w:lang w:val="en-US" w:eastAsia="en-GB"/>
                <w14:ligatures w14:val="none"/>
              </w:rPr>
              <w:t>Start session</w:t>
            </w:r>
            <w:r w:rsidRPr="008314A9">
              <w:rPr>
                <w:rFonts w:ascii="Arial" w:eastAsia="Times New Roman" w:hAnsi="Arial" w:cs="Arial"/>
                <w:color w:val="27251E"/>
                <w:kern w:val="0"/>
                <w:sz w:val="22"/>
                <w:szCs w:val="22"/>
                <w:lang w:val="en-US" w:eastAsia="en-GB"/>
                <w14:ligatures w14:val="none"/>
              </w:rPr>
              <w:t xml:space="preserve"> – Welcome by Eric</w:t>
            </w:r>
            <w:r w:rsidRPr="008314A9">
              <w:rPr>
                <w:rFonts w:ascii="Arial" w:eastAsia="Times New Roman" w:hAnsi="Arial" w:cs="Arial"/>
                <w:color w:val="27251E"/>
                <w:kern w:val="0"/>
                <w:sz w:val="22"/>
                <w:szCs w:val="22"/>
                <w:lang w:eastAsia="en-GB"/>
                <w14:ligatures w14:val="none"/>
              </w:rPr>
              <w:t> </w:t>
            </w:r>
          </w:p>
        </w:tc>
        <w:tc>
          <w:tcPr>
            <w:tcW w:w="7692" w:type="dxa"/>
            <w:tcBorders>
              <w:top w:val="single" w:sz="2" w:space="0" w:color="auto"/>
              <w:left w:val="single" w:sz="2" w:space="0" w:color="auto"/>
              <w:bottom w:val="single" w:sz="6" w:space="0" w:color="auto"/>
              <w:right w:val="single" w:sz="2" w:space="0" w:color="auto"/>
            </w:tcBorders>
            <w:hideMark/>
          </w:tcPr>
          <w:p w14:paraId="7D8CC654" w14:textId="77777777" w:rsidR="0015603F" w:rsidRPr="008314A9" w:rsidRDefault="0015603F" w:rsidP="008314A9">
            <w:pPr>
              <w:spacing w:after="0" w:line="240" w:lineRule="auto"/>
              <w:textAlignment w:val="baseline"/>
              <w:rPr>
                <w:rFonts w:ascii="Segoe UI" w:eastAsia="Times New Roman" w:hAnsi="Segoe UI" w:cs="Segoe UI"/>
                <w:kern w:val="0"/>
                <w:sz w:val="18"/>
                <w:szCs w:val="18"/>
                <w:lang w:eastAsia="en-GB"/>
                <w14:ligatures w14:val="none"/>
              </w:rPr>
            </w:pPr>
            <w:r w:rsidRPr="008314A9">
              <w:rPr>
                <w:rFonts w:ascii="Arial" w:eastAsia="Times New Roman" w:hAnsi="Arial" w:cs="Arial"/>
                <w:color w:val="27251E"/>
                <w:kern w:val="0"/>
                <w:sz w:val="22"/>
                <w:szCs w:val="22"/>
                <w:lang w:val="en-US" w:eastAsia="en-GB"/>
                <w14:ligatures w14:val="none"/>
              </w:rPr>
              <w:t>Introduction to day's program and content</w:t>
            </w:r>
            <w:r w:rsidRPr="008314A9">
              <w:rPr>
                <w:rFonts w:ascii="Arial" w:eastAsia="Times New Roman" w:hAnsi="Arial" w:cs="Arial"/>
                <w:color w:val="27251E"/>
                <w:kern w:val="0"/>
                <w:sz w:val="22"/>
                <w:szCs w:val="22"/>
                <w:lang w:eastAsia="en-GB"/>
                <w14:ligatures w14:val="none"/>
              </w:rPr>
              <w:t> </w:t>
            </w:r>
          </w:p>
        </w:tc>
      </w:tr>
      <w:tr w:rsidR="0015603F" w:rsidRPr="008314A9" w14:paraId="6CDAD7EB" w14:textId="77777777" w:rsidTr="0015603F">
        <w:trPr>
          <w:trHeight w:val="285"/>
        </w:trPr>
        <w:tc>
          <w:tcPr>
            <w:tcW w:w="1661" w:type="dxa"/>
            <w:tcBorders>
              <w:top w:val="single" w:sz="2" w:space="0" w:color="auto"/>
              <w:left w:val="single" w:sz="2" w:space="0" w:color="auto"/>
              <w:bottom w:val="single" w:sz="6" w:space="0" w:color="auto"/>
              <w:right w:val="single" w:sz="6" w:space="0" w:color="auto"/>
            </w:tcBorders>
            <w:hideMark/>
          </w:tcPr>
          <w:p w14:paraId="7A848323" w14:textId="77777777" w:rsidR="0015603F" w:rsidRPr="008314A9" w:rsidRDefault="0015603F" w:rsidP="008314A9">
            <w:pPr>
              <w:spacing w:after="0" w:line="240" w:lineRule="auto"/>
              <w:textAlignment w:val="baseline"/>
              <w:rPr>
                <w:rFonts w:ascii="Segoe UI" w:eastAsia="Times New Roman" w:hAnsi="Segoe UI" w:cs="Segoe UI"/>
                <w:kern w:val="0"/>
                <w:sz w:val="18"/>
                <w:szCs w:val="18"/>
                <w:lang w:eastAsia="en-GB"/>
                <w14:ligatures w14:val="none"/>
              </w:rPr>
            </w:pPr>
            <w:r w:rsidRPr="008314A9">
              <w:rPr>
                <w:rFonts w:ascii="Arial" w:eastAsia="Times New Roman" w:hAnsi="Arial" w:cs="Arial"/>
                <w:color w:val="27251E"/>
                <w:kern w:val="0"/>
                <w:sz w:val="22"/>
                <w:szCs w:val="22"/>
                <w:lang w:val="en-US" w:eastAsia="en-GB"/>
                <w14:ligatures w14:val="none"/>
              </w:rPr>
              <w:t xml:space="preserve">Charlotte Croucher – </w:t>
            </w:r>
            <w:r w:rsidRPr="008314A9">
              <w:rPr>
                <w:rFonts w:ascii="Arial" w:eastAsia="Times New Roman" w:hAnsi="Arial" w:cs="Arial"/>
                <w:b/>
                <w:bCs/>
                <w:color w:val="27251E"/>
                <w:kern w:val="0"/>
                <w:sz w:val="22"/>
                <w:szCs w:val="22"/>
                <w:lang w:val="en-US" w:eastAsia="en-GB"/>
                <w14:ligatures w14:val="none"/>
              </w:rPr>
              <w:t>Understanding pedestrian-micromobility interaction using extended Reality</w:t>
            </w:r>
            <w:r w:rsidRPr="008314A9">
              <w:rPr>
                <w:rFonts w:ascii="Arial" w:eastAsia="Times New Roman" w:hAnsi="Arial" w:cs="Arial"/>
                <w:color w:val="27251E"/>
                <w:kern w:val="0"/>
                <w:sz w:val="22"/>
                <w:szCs w:val="22"/>
                <w:lang w:eastAsia="en-GB"/>
                <w14:ligatures w14:val="none"/>
              </w:rPr>
              <w:t> </w:t>
            </w:r>
          </w:p>
        </w:tc>
        <w:tc>
          <w:tcPr>
            <w:tcW w:w="7692" w:type="dxa"/>
            <w:tcBorders>
              <w:top w:val="single" w:sz="2" w:space="0" w:color="auto"/>
              <w:left w:val="single" w:sz="2" w:space="0" w:color="auto"/>
              <w:bottom w:val="single" w:sz="6" w:space="0" w:color="auto"/>
              <w:right w:val="single" w:sz="2" w:space="0" w:color="auto"/>
            </w:tcBorders>
            <w:hideMark/>
          </w:tcPr>
          <w:p w14:paraId="6A1406B3" w14:textId="77777777" w:rsidR="0015603F" w:rsidRPr="008314A9" w:rsidRDefault="0015603F" w:rsidP="008314A9">
            <w:pPr>
              <w:spacing w:after="0" w:line="240" w:lineRule="auto"/>
              <w:textAlignment w:val="baseline"/>
              <w:rPr>
                <w:rFonts w:ascii="Segoe UI" w:eastAsia="Times New Roman" w:hAnsi="Segoe UI" w:cs="Segoe UI"/>
                <w:kern w:val="0"/>
                <w:sz w:val="18"/>
                <w:szCs w:val="18"/>
                <w:lang w:eastAsia="en-GB"/>
                <w14:ligatures w14:val="none"/>
              </w:rPr>
            </w:pPr>
            <w:r w:rsidRPr="008314A9">
              <w:rPr>
                <w:rFonts w:ascii="Arial" w:eastAsia="Times New Roman" w:hAnsi="Arial" w:cs="Arial"/>
                <w:color w:val="27251E"/>
                <w:kern w:val="0"/>
                <w:sz w:val="22"/>
                <w:szCs w:val="22"/>
                <w:lang w:val="en-US" w:eastAsia="en-GB"/>
                <w14:ligatures w14:val="none"/>
              </w:rPr>
              <w:t>10 min + 5 min Q&amp;A</w:t>
            </w:r>
            <w:r w:rsidRPr="008314A9">
              <w:rPr>
                <w:rFonts w:ascii="Arial" w:eastAsia="Times New Roman" w:hAnsi="Arial" w:cs="Arial"/>
                <w:color w:val="27251E"/>
                <w:kern w:val="0"/>
                <w:sz w:val="22"/>
                <w:szCs w:val="22"/>
                <w:lang w:eastAsia="en-GB"/>
                <w14:ligatures w14:val="none"/>
              </w:rPr>
              <w:t> </w:t>
            </w:r>
          </w:p>
          <w:p w14:paraId="1D51EC2D" w14:textId="77777777" w:rsidR="0015603F" w:rsidRPr="008314A9" w:rsidRDefault="0015603F" w:rsidP="008314A9">
            <w:pPr>
              <w:spacing w:after="0" w:line="240" w:lineRule="auto"/>
              <w:textAlignment w:val="baseline"/>
              <w:rPr>
                <w:rFonts w:ascii="Segoe UI" w:eastAsia="Times New Roman" w:hAnsi="Segoe UI" w:cs="Segoe UI"/>
                <w:kern w:val="0"/>
                <w:sz w:val="18"/>
                <w:szCs w:val="18"/>
                <w:lang w:eastAsia="en-GB"/>
                <w14:ligatures w14:val="none"/>
              </w:rPr>
            </w:pPr>
            <w:r w:rsidRPr="008314A9">
              <w:rPr>
                <w:rFonts w:ascii="Arial" w:eastAsia="Times New Roman" w:hAnsi="Arial" w:cs="Arial"/>
                <w:color w:val="27251E"/>
                <w:kern w:val="0"/>
                <w:sz w:val="22"/>
                <w:szCs w:val="22"/>
                <w:lang w:eastAsia="en-GB"/>
                <w14:ligatures w14:val="none"/>
              </w:rPr>
              <w:t> </w:t>
            </w:r>
          </w:p>
          <w:p w14:paraId="1BA59DD1" w14:textId="77777777" w:rsidR="0015603F" w:rsidRDefault="0015603F" w:rsidP="008314A9">
            <w:pPr>
              <w:spacing w:after="0" w:line="240" w:lineRule="auto"/>
              <w:textAlignment w:val="baseline"/>
              <w:rPr>
                <w:rFonts w:ascii="Arial" w:eastAsia="Times New Roman" w:hAnsi="Arial" w:cs="Arial"/>
                <w:color w:val="27251E"/>
                <w:kern w:val="0"/>
                <w:sz w:val="22"/>
                <w:szCs w:val="22"/>
                <w:lang w:eastAsia="en-GB"/>
                <w14:ligatures w14:val="none"/>
              </w:rPr>
            </w:pPr>
            <w:r w:rsidRPr="008314A9">
              <w:rPr>
                <w:rFonts w:ascii="Arial" w:eastAsia="Times New Roman" w:hAnsi="Arial" w:cs="Arial"/>
                <w:color w:val="27251E"/>
                <w:kern w:val="0"/>
                <w:sz w:val="22"/>
                <w:szCs w:val="22"/>
                <w:lang w:val="en-US" w:eastAsia="en-GB"/>
                <w14:ligatures w14:val="none"/>
              </w:rPr>
              <w:t>Abstract: MicroMReg aims to utilise XR simulations to investigate the impact and interactions of various stress indicators on pedestrian well-being. By immersing participants in realistic, diverse urban environments, we will capture and measure behavioural reactions and physiological stress responses as pedestrians interact with other micromobility modes. This will enable the accurate identification, quantification, and assessment of pedestrian stress indicators and their interactions within complex urban contexts.</w:t>
            </w:r>
            <w:r w:rsidRPr="008314A9">
              <w:rPr>
                <w:rFonts w:ascii="Arial" w:eastAsia="Times New Roman" w:hAnsi="Arial" w:cs="Arial"/>
                <w:color w:val="27251E"/>
                <w:kern w:val="0"/>
                <w:sz w:val="22"/>
                <w:szCs w:val="22"/>
                <w:lang w:eastAsia="en-GB"/>
                <w14:ligatures w14:val="none"/>
              </w:rPr>
              <w:t> </w:t>
            </w:r>
          </w:p>
          <w:p w14:paraId="6ADE4A72" w14:textId="77777777" w:rsidR="0015603F" w:rsidRPr="008314A9" w:rsidRDefault="0015603F" w:rsidP="008314A9">
            <w:pPr>
              <w:spacing w:after="0" w:line="240" w:lineRule="auto"/>
              <w:textAlignment w:val="baseline"/>
              <w:rPr>
                <w:rFonts w:ascii="Segoe UI" w:eastAsia="Times New Roman" w:hAnsi="Segoe UI" w:cs="Segoe UI"/>
                <w:kern w:val="0"/>
                <w:sz w:val="18"/>
                <w:szCs w:val="18"/>
                <w:lang w:eastAsia="en-GB"/>
                <w14:ligatures w14:val="none"/>
              </w:rPr>
            </w:pPr>
          </w:p>
        </w:tc>
      </w:tr>
      <w:tr w:rsidR="0015603F" w:rsidRPr="008314A9" w14:paraId="38CFC7CD" w14:textId="77777777" w:rsidTr="0015603F">
        <w:trPr>
          <w:trHeight w:val="285"/>
        </w:trPr>
        <w:tc>
          <w:tcPr>
            <w:tcW w:w="1661" w:type="dxa"/>
            <w:tcBorders>
              <w:top w:val="single" w:sz="2" w:space="0" w:color="auto"/>
              <w:left w:val="single" w:sz="2" w:space="0" w:color="auto"/>
              <w:bottom w:val="single" w:sz="6" w:space="0" w:color="auto"/>
              <w:right w:val="single" w:sz="6" w:space="0" w:color="auto"/>
            </w:tcBorders>
            <w:hideMark/>
          </w:tcPr>
          <w:p w14:paraId="229A50C7" w14:textId="77777777" w:rsidR="0015603F" w:rsidRPr="008314A9" w:rsidRDefault="0015603F" w:rsidP="008314A9">
            <w:pPr>
              <w:spacing w:after="0" w:line="240" w:lineRule="auto"/>
              <w:textAlignment w:val="baseline"/>
              <w:rPr>
                <w:rFonts w:ascii="Segoe UI" w:eastAsia="Times New Roman" w:hAnsi="Segoe UI" w:cs="Segoe UI"/>
                <w:kern w:val="0"/>
                <w:sz w:val="18"/>
                <w:szCs w:val="18"/>
                <w:lang w:eastAsia="en-GB"/>
                <w14:ligatures w14:val="none"/>
              </w:rPr>
            </w:pPr>
            <w:r w:rsidRPr="008314A9">
              <w:rPr>
                <w:rFonts w:ascii="Arial" w:eastAsia="Times New Roman" w:hAnsi="Arial" w:cs="Arial"/>
                <w:color w:val="27251E"/>
                <w:kern w:val="0"/>
                <w:sz w:val="22"/>
                <w:szCs w:val="22"/>
                <w:lang w:val="en-US" w:eastAsia="en-GB"/>
                <w14:ligatures w14:val="none"/>
              </w:rPr>
              <w:t xml:space="preserve">Nyko Ham, Dylan T. van Bezooijen, M. Baran Ulak, Karst Geurs – </w:t>
            </w:r>
            <w:r w:rsidRPr="008314A9">
              <w:rPr>
                <w:rFonts w:ascii="Arial" w:eastAsia="Times New Roman" w:hAnsi="Arial" w:cs="Arial"/>
                <w:b/>
                <w:bCs/>
                <w:color w:val="27251E"/>
                <w:kern w:val="0"/>
                <w:sz w:val="22"/>
                <w:szCs w:val="22"/>
                <w:lang w:val="en-US" w:eastAsia="en-GB"/>
                <w14:ligatures w14:val="none"/>
              </w:rPr>
              <w:t>Relationship between accessibility deficiency, mobility enablers, and mobility capabilities at urban outskirts: Case study of Utrecht and bike sharing</w:t>
            </w:r>
            <w:r w:rsidRPr="008314A9">
              <w:rPr>
                <w:rFonts w:ascii="Arial" w:eastAsia="Times New Roman" w:hAnsi="Arial" w:cs="Arial"/>
                <w:color w:val="27251E"/>
                <w:kern w:val="0"/>
                <w:sz w:val="22"/>
                <w:szCs w:val="22"/>
                <w:lang w:eastAsia="en-GB"/>
                <w14:ligatures w14:val="none"/>
              </w:rPr>
              <w:t> </w:t>
            </w:r>
          </w:p>
        </w:tc>
        <w:tc>
          <w:tcPr>
            <w:tcW w:w="7692" w:type="dxa"/>
            <w:tcBorders>
              <w:top w:val="single" w:sz="2" w:space="0" w:color="auto"/>
              <w:left w:val="single" w:sz="2" w:space="0" w:color="auto"/>
              <w:bottom w:val="single" w:sz="6" w:space="0" w:color="auto"/>
              <w:right w:val="single" w:sz="2" w:space="0" w:color="auto"/>
            </w:tcBorders>
            <w:hideMark/>
          </w:tcPr>
          <w:p w14:paraId="140BDBCA" w14:textId="77777777" w:rsidR="0015603F" w:rsidRPr="008314A9" w:rsidRDefault="0015603F" w:rsidP="008314A9">
            <w:pPr>
              <w:spacing w:after="0" w:line="240" w:lineRule="auto"/>
              <w:textAlignment w:val="baseline"/>
              <w:rPr>
                <w:rFonts w:ascii="Segoe UI" w:eastAsia="Times New Roman" w:hAnsi="Segoe UI" w:cs="Segoe UI"/>
                <w:kern w:val="0"/>
                <w:sz w:val="18"/>
                <w:szCs w:val="18"/>
                <w:lang w:eastAsia="en-GB"/>
                <w14:ligatures w14:val="none"/>
              </w:rPr>
            </w:pPr>
            <w:r w:rsidRPr="008314A9">
              <w:rPr>
                <w:rFonts w:ascii="Arial" w:eastAsia="Times New Roman" w:hAnsi="Arial" w:cs="Arial"/>
                <w:color w:val="27251E"/>
                <w:kern w:val="0"/>
                <w:sz w:val="22"/>
                <w:szCs w:val="22"/>
                <w:lang w:val="en-US" w:eastAsia="en-GB"/>
                <w14:ligatures w14:val="none"/>
              </w:rPr>
              <w:t>10 min + 5 min Q&amp;A</w:t>
            </w:r>
            <w:r w:rsidRPr="008314A9">
              <w:rPr>
                <w:rFonts w:ascii="Arial" w:eastAsia="Times New Roman" w:hAnsi="Arial" w:cs="Arial"/>
                <w:color w:val="27251E"/>
                <w:kern w:val="0"/>
                <w:sz w:val="22"/>
                <w:szCs w:val="22"/>
                <w:lang w:eastAsia="en-GB"/>
                <w14:ligatures w14:val="none"/>
              </w:rPr>
              <w:t> </w:t>
            </w:r>
          </w:p>
          <w:p w14:paraId="25FB957F" w14:textId="77777777" w:rsidR="0015603F" w:rsidRPr="008314A9" w:rsidRDefault="0015603F" w:rsidP="008314A9">
            <w:pPr>
              <w:spacing w:after="0" w:line="240" w:lineRule="auto"/>
              <w:textAlignment w:val="baseline"/>
              <w:rPr>
                <w:rFonts w:ascii="Segoe UI" w:eastAsia="Times New Roman" w:hAnsi="Segoe UI" w:cs="Segoe UI"/>
                <w:kern w:val="0"/>
                <w:sz w:val="18"/>
                <w:szCs w:val="18"/>
                <w:lang w:eastAsia="en-GB"/>
                <w14:ligatures w14:val="none"/>
              </w:rPr>
            </w:pPr>
            <w:r w:rsidRPr="008314A9">
              <w:rPr>
                <w:rFonts w:ascii="Arial" w:eastAsia="Times New Roman" w:hAnsi="Arial" w:cs="Arial"/>
                <w:color w:val="27251E"/>
                <w:kern w:val="0"/>
                <w:sz w:val="22"/>
                <w:szCs w:val="22"/>
                <w:lang w:eastAsia="en-GB"/>
                <w14:ligatures w14:val="none"/>
              </w:rPr>
              <w:t> </w:t>
            </w:r>
          </w:p>
          <w:p w14:paraId="3FA2FD0F" w14:textId="77777777" w:rsidR="0015603F" w:rsidRDefault="0015603F" w:rsidP="008314A9">
            <w:pPr>
              <w:spacing w:after="0" w:line="240" w:lineRule="auto"/>
              <w:textAlignment w:val="baseline"/>
              <w:rPr>
                <w:rFonts w:ascii="Arial" w:eastAsia="Times New Roman" w:hAnsi="Arial" w:cs="Arial"/>
                <w:color w:val="27251E"/>
                <w:kern w:val="0"/>
                <w:sz w:val="22"/>
                <w:szCs w:val="22"/>
                <w:lang w:eastAsia="en-GB"/>
                <w14:ligatures w14:val="none"/>
              </w:rPr>
            </w:pPr>
            <w:r w:rsidRPr="008314A9">
              <w:rPr>
                <w:rFonts w:ascii="Arial" w:eastAsia="Times New Roman" w:hAnsi="Arial" w:cs="Arial"/>
                <w:color w:val="27251E"/>
                <w:kern w:val="0"/>
                <w:sz w:val="22"/>
                <w:szCs w:val="22"/>
                <w:lang w:val="en-US" w:eastAsia="en-GB"/>
                <w14:ligatures w14:val="none"/>
              </w:rPr>
              <w:t>"Abstract: Access to services is critical for social well-being, as a lack of access leads to limited participation in daily activities and social exclusion. 15% of Dutch residents have occasional difficulty reaching their work, education, doctor or supermarket. Lack of access to self-selected essential destinations is defined as an accessibility deficiency.  Despite the criticality for well-being and social inclusion, there is a scarcity of measures to capture all aspects of accessibility and the minimum required level of access. Although accessibility deficiency can be a problem for all urban residents, it is not evenly distributed throughout cities; urban outskirts typically report higher rates of accessibility deficiency. The problem is bigger in urban outskirts due to low density, dispersed land-use, and fragmented active mobility infrastructure, exacerbating the accessibility deficiencies.</w:t>
            </w:r>
            <w:r w:rsidRPr="008314A9">
              <w:rPr>
                <w:rFonts w:ascii="Arial" w:eastAsia="Times New Roman" w:hAnsi="Arial" w:cs="Arial"/>
                <w:color w:val="27251E"/>
                <w:kern w:val="0"/>
                <w:sz w:val="22"/>
                <w:szCs w:val="22"/>
                <w:lang w:eastAsia="en-GB"/>
                <w14:ligatures w14:val="none"/>
              </w:rPr>
              <w:t> </w:t>
            </w:r>
          </w:p>
          <w:p w14:paraId="43B0B653" w14:textId="77777777" w:rsidR="0015603F" w:rsidRPr="008314A9" w:rsidRDefault="0015603F" w:rsidP="008314A9">
            <w:pPr>
              <w:spacing w:after="0" w:line="240" w:lineRule="auto"/>
              <w:textAlignment w:val="baseline"/>
              <w:rPr>
                <w:rFonts w:ascii="Segoe UI" w:eastAsia="Times New Roman" w:hAnsi="Segoe UI" w:cs="Segoe UI"/>
                <w:kern w:val="0"/>
                <w:sz w:val="18"/>
                <w:szCs w:val="18"/>
                <w:lang w:eastAsia="en-GB"/>
                <w14:ligatures w14:val="none"/>
              </w:rPr>
            </w:pPr>
          </w:p>
          <w:p w14:paraId="67B9E8FB" w14:textId="77777777" w:rsidR="0015603F" w:rsidRDefault="0015603F" w:rsidP="008314A9">
            <w:pPr>
              <w:spacing w:after="0" w:line="240" w:lineRule="auto"/>
              <w:textAlignment w:val="baseline"/>
              <w:rPr>
                <w:rFonts w:ascii="Arial" w:eastAsia="Times New Roman" w:hAnsi="Arial" w:cs="Arial"/>
                <w:color w:val="27251E"/>
                <w:kern w:val="0"/>
                <w:sz w:val="22"/>
                <w:szCs w:val="22"/>
                <w:lang w:eastAsia="en-GB"/>
                <w14:ligatures w14:val="none"/>
              </w:rPr>
            </w:pPr>
            <w:r w:rsidRPr="008314A9">
              <w:rPr>
                <w:rFonts w:ascii="Arial" w:eastAsia="Times New Roman" w:hAnsi="Arial" w:cs="Arial"/>
                <w:color w:val="27251E"/>
                <w:kern w:val="0"/>
                <w:sz w:val="22"/>
                <w:szCs w:val="22"/>
                <w:lang w:val="en-US" w:eastAsia="en-GB"/>
                <w14:ligatures w14:val="none"/>
              </w:rPr>
              <w:t>This study aims to examine the relationship between accessibility deficiency and mobility enablers such as digital tools and availability of mobility options (e.g., shared bikes), and mobility capabilities such as the ability/possibility to walk or cycle, and digital skills. For this purpose, we first introduced and applied a person-based measure of accessibility deficiency that integrates land-use, transport, temporal and individual-need components, and second, empirically linked mobility enablers and capabilities of shared bikes to experienced accessibility deficiency. A case study, a survey, and a workshop were conducted in the outskirts of Utrecht, where there is a large difference in accessibility deficiency among the neighbourhoods: 19% of residents of Overvecht reported often being unable to reach an education site, while in Noordoost this is only 3%. Furthermore, Utrecht has the most developed and used shared bike system of the Netherlands, with shared bikes, shared e-bikes and shared cargo bikes. The results of the research contribute to both the conceptualisation and empirical assessment of equitable accessibility planning by establishing a relationship between accessibility deficiencies and mobility enables and capabilities."</w:t>
            </w:r>
            <w:r w:rsidRPr="008314A9">
              <w:rPr>
                <w:rFonts w:ascii="Arial" w:eastAsia="Times New Roman" w:hAnsi="Arial" w:cs="Arial"/>
                <w:color w:val="27251E"/>
                <w:kern w:val="0"/>
                <w:sz w:val="22"/>
                <w:szCs w:val="22"/>
                <w:lang w:eastAsia="en-GB"/>
                <w14:ligatures w14:val="none"/>
              </w:rPr>
              <w:t> </w:t>
            </w:r>
          </w:p>
          <w:p w14:paraId="6AD2ECB5" w14:textId="77777777" w:rsidR="0015603F" w:rsidRPr="008314A9" w:rsidRDefault="0015603F" w:rsidP="008314A9">
            <w:pPr>
              <w:spacing w:after="0" w:line="240" w:lineRule="auto"/>
              <w:textAlignment w:val="baseline"/>
              <w:rPr>
                <w:rFonts w:ascii="Segoe UI" w:eastAsia="Times New Roman" w:hAnsi="Segoe UI" w:cs="Segoe UI"/>
                <w:kern w:val="0"/>
                <w:sz w:val="18"/>
                <w:szCs w:val="18"/>
                <w:lang w:eastAsia="en-GB"/>
                <w14:ligatures w14:val="none"/>
              </w:rPr>
            </w:pPr>
          </w:p>
        </w:tc>
      </w:tr>
      <w:tr w:rsidR="0015603F" w:rsidRPr="008314A9" w14:paraId="4764B054" w14:textId="77777777" w:rsidTr="0015603F">
        <w:trPr>
          <w:trHeight w:val="285"/>
        </w:trPr>
        <w:tc>
          <w:tcPr>
            <w:tcW w:w="1661" w:type="dxa"/>
            <w:tcBorders>
              <w:top w:val="single" w:sz="2" w:space="0" w:color="auto"/>
              <w:left w:val="single" w:sz="2" w:space="0" w:color="auto"/>
              <w:bottom w:val="single" w:sz="6" w:space="0" w:color="auto"/>
              <w:right w:val="single" w:sz="6" w:space="0" w:color="auto"/>
            </w:tcBorders>
            <w:hideMark/>
          </w:tcPr>
          <w:p w14:paraId="1630DA9E" w14:textId="77777777" w:rsidR="0015603F" w:rsidRPr="008314A9" w:rsidRDefault="0015603F" w:rsidP="008314A9">
            <w:pPr>
              <w:spacing w:after="0" w:line="240" w:lineRule="auto"/>
              <w:textAlignment w:val="baseline"/>
              <w:rPr>
                <w:rFonts w:ascii="Segoe UI" w:eastAsia="Times New Roman" w:hAnsi="Segoe UI" w:cs="Segoe UI"/>
                <w:kern w:val="0"/>
                <w:sz w:val="18"/>
                <w:szCs w:val="18"/>
                <w:lang w:eastAsia="en-GB"/>
                <w14:ligatures w14:val="none"/>
              </w:rPr>
            </w:pPr>
            <w:r w:rsidRPr="008314A9">
              <w:rPr>
                <w:rFonts w:ascii="Arial" w:eastAsia="Times New Roman" w:hAnsi="Arial" w:cs="Arial"/>
                <w:color w:val="27251E"/>
                <w:kern w:val="0"/>
                <w:sz w:val="22"/>
                <w:szCs w:val="22"/>
                <w:lang w:val="en-US" w:eastAsia="en-GB"/>
                <w14:ligatures w14:val="none"/>
              </w:rPr>
              <w:t xml:space="preserve">Dea van Lierop,  Hisham Negm – </w:t>
            </w:r>
            <w:r w:rsidRPr="008314A9">
              <w:rPr>
                <w:rFonts w:ascii="Arial" w:eastAsia="Times New Roman" w:hAnsi="Arial" w:cs="Arial"/>
                <w:b/>
                <w:bCs/>
                <w:color w:val="27251E"/>
                <w:kern w:val="0"/>
                <w:sz w:val="22"/>
                <w:szCs w:val="22"/>
                <w:lang w:val="en-US" w:eastAsia="en-GB"/>
                <w14:ligatures w14:val="none"/>
              </w:rPr>
              <w:t xml:space="preserve">From conceptual framework to household travel survey: A co-creation approach to children’s and </w:t>
            </w:r>
            <w:r w:rsidRPr="008314A9">
              <w:rPr>
                <w:rFonts w:ascii="Arial" w:eastAsia="Times New Roman" w:hAnsi="Arial" w:cs="Arial"/>
                <w:b/>
                <w:bCs/>
                <w:color w:val="27251E"/>
                <w:kern w:val="0"/>
                <w:sz w:val="22"/>
                <w:szCs w:val="22"/>
                <w:lang w:val="en-US" w:eastAsia="en-GB"/>
                <w14:ligatures w14:val="none"/>
              </w:rPr>
              <w:lastRenderedPageBreak/>
              <w:t>youths’ mobility experiences</w:t>
            </w:r>
            <w:r w:rsidRPr="008314A9">
              <w:rPr>
                <w:rFonts w:ascii="Arial" w:eastAsia="Times New Roman" w:hAnsi="Arial" w:cs="Arial"/>
                <w:color w:val="27251E"/>
                <w:kern w:val="0"/>
                <w:sz w:val="22"/>
                <w:szCs w:val="22"/>
                <w:lang w:eastAsia="en-GB"/>
                <w14:ligatures w14:val="none"/>
              </w:rPr>
              <w:t> </w:t>
            </w:r>
          </w:p>
        </w:tc>
        <w:tc>
          <w:tcPr>
            <w:tcW w:w="7692" w:type="dxa"/>
            <w:tcBorders>
              <w:top w:val="single" w:sz="2" w:space="0" w:color="auto"/>
              <w:left w:val="single" w:sz="2" w:space="0" w:color="auto"/>
              <w:bottom w:val="single" w:sz="6" w:space="0" w:color="auto"/>
              <w:right w:val="single" w:sz="2" w:space="0" w:color="auto"/>
            </w:tcBorders>
            <w:hideMark/>
          </w:tcPr>
          <w:p w14:paraId="025F7CA0" w14:textId="77777777" w:rsidR="0015603F" w:rsidRPr="008314A9" w:rsidRDefault="0015603F" w:rsidP="008314A9">
            <w:pPr>
              <w:spacing w:after="0" w:line="240" w:lineRule="auto"/>
              <w:textAlignment w:val="baseline"/>
              <w:rPr>
                <w:rFonts w:ascii="Segoe UI" w:eastAsia="Times New Roman" w:hAnsi="Segoe UI" w:cs="Segoe UI"/>
                <w:kern w:val="0"/>
                <w:sz w:val="18"/>
                <w:szCs w:val="18"/>
                <w:lang w:eastAsia="en-GB"/>
                <w14:ligatures w14:val="none"/>
              </w:rPr>
            </w:pPr>
            <w:r w:rsidRPr="008314A9">
              <w:rPr>
                <w:rFonts w:ascii="Arial" w:eastAsia="Times New Roman" w:hAnsi="Arial" w:cs="Arial"/>
                <w:color w:val="27251E"/>
                <w:kern w:val="0"/>
                <w:sz w:val="22"/>
                <w:szCs w:val="22"/>
                <w:lang w:val="en-US" w:eastAsia="en-GB"/>
                <w14:ligatures w14:val="none"/>
              </w:rPr>
              <w:lastRenderedPageBreak/>
              <w:t>10 min + 5 min Q&amp;A</w:t>
            </w:r>
            <w:r w:rsidRPr="008314A9">
              <w:rPr>
                <w:rFonts w:ascii="Arial" w:eastAsia="Times New Roman" w:hAnsi="Arial" w:cs="Arial"/>
                <w:color w:val="27251E"/>
                <w:kern w:val="0"/>
                <w:sz w:val="22"/>
                <w:szCs w:val="22"/>
                <w:lang w:eastAsia="en-GB"/>
                <w14:ligatures w14:val="none"/>
              </w:rPr>
              <w:t> </w:t>
            </w:r>
          </w:p>
          <w:p w14:paraId="243CC6F1" w14:textId="77777777" w:rsidR="0015603F" w:rsidRPr="008314A9" w:rsidRDefault="0015603F" w:rsidP="008314A9">
            <w:pPr>
              <w:spacing w:after="0" w:line="240" w:lineRule="auto"/>
              <w:textAlignment w:val="baseline"/>
              <w:rPr>
                <w:rFonts w:ascii="Segoe UI" w:eastAsia="Times New Roman" w:hAnsi="Segoe UI" w:cs="Segoe UI"/>
                <w:kern w:val="0"/>
                <w:sz w:val="18"/>
                <w:szCs w:val="18"/>
                <w:lang w:eastAsia="en-GB"/>
                <w14:ligatures w14:val="none"/>
              </w:rPr>
            </w:pPr>
            <w:r w:rsidRPr="008314A9">
              <w:rPr>
                <w:rFonts w:ascii="Arial" w:eastAsia="Times New Roman" w:hAnsi="Arial" w:cs="Arial"/>
                <w:color w:val="27251E"/>
                <w:kern w:val="0"/>
                <w:sz w:val="22"/>
                <w:szCs w:val="22"/>
                <w:lang w:eastAsia="en-GB"/>
                <w14:ligatures w14:val="none"/>
              </w:rPr>
              <w:t> </w:t>
            </w:r>
          </w:p>
          <w:p w14:paraId="57F26A83" w14:textId="77777777" w:rsidR="0015603F" w:rsidRDefault="0015603F" w:rsidP="008314A9">
            <w:pPr>
              <w:spacing w:after="0" w:line="240" w:lineRule="auto"/>
              <w:textAlignment w:val="baseline"/>
              <w:rPr>
                <w:rFonts w:ascii="Arial" w:eastAsia="Times New Roman" w:hAnsi="Arial" w:cs="Arial"/>
                <w:color w:val="27251E"/>
                <w:kern w:val="0"/>
                <w:sz w:val="22"/>
                <w:szCs w:val="22"/>
                <w:lang w:eastAsia="en-GB"/>
                <w14:ligatures w14:val="none"/>
              </w:rPr>
            </w:pPr>
            <w:r w:rsidRPr="008314A9">
              <w:rPr>
                <w:rFonts w:ascii="Arial" w:eastAsia="Times New Roman" w:hAnsi="Arial" w:cs="Arial"/>
                <w:color w:val="27251E"/>
                <w:kern w:val="0"/>
                <w:sz w:val="22"/>
                <w:szCs w:val="22"/>
                <w:lang w:val="en-US" w:eastAsia="en-GB"/>
                <w14:ligatures w14:val="none"/>
              </w:rPr>
              <w:t xml:space="preserve">Abstract: Children’s and youths’ travel behaviour is shaped not only by their individual characteristics but also by household dynamics as well as the wider mobility and built environment systems surrounding the household. Household survey tools that move beyond adult-centric travel reporting offer a way to account for children’s and youths’ actual and desired mobility within diverse contexts. However, practical guidance on designing such surveys remains limited. This paper proposes a methodological approach for developing a multi-respondent household travel survey that situates children’s and youths’ </w:t>
            </w:r>
            <w:r w:rsidRPr="008314A9">
              <w:rPr>
                <w:rFonts w:ascii="Arial" w:eastAsia="Times New Roman" w:hAnsi="Arial" w:cs="Arial"/>
                <w:color w:val="27251E"/>
                <w:kern w:val="0"/>
                <w:sz w:val="22"/>
                <w:szCs w:val="22"/>
                <w:lang w:val="en-US" w:eastAsia="en-GB"/>
                <w14:ligatures w14:val="none"/>
              </w:rPr>
              <w:lastRenderedPageBreak/>
              <w:t>travel experiences within broader household travel practices. The approach begins with the establishment of a conceptual framework linking household travel practices, children’s mobility experiences, and broader systemic influences. The socio-ecological framework (Bronfenbrenner, 1979) serves as the overarching structure, complemented by social learning theory (Bandura, 1963), the theory of planned behaviour (Ajzen, 1991), and the capability approach (Sen, 1995). The conceptual framework informs the structure of the household survey and is operationalized by organizing key determinants of children’s mobility across the five nested levels of the socio-ecological model: (1) personal, (2) interpersonal, (3) community, (4) built environment, and (5) policy. Social learning theory aligns with the interpersonal level, emphasizing how children acquire mobility behaviours through observing parents and peers. The theory of planned behaviour highlights the role of both children’s and caregivers’ intentions, shaped by attitudes, subjective norms, and perceived behavioural control. Attitudes emerge primarily at the personal and interpersonal levels; subjective norms at the interpersonal and community levels; and perceived behavioural control is shaped by personal, built environment, and policy contexts. Finally, drawing on the capability approach, independent active mobility is conceptualized as a capability that enables children to access opportunities, participate socially, engage in physical activity, and enhance their well-being. While theory guides the framing of the survey design, the survey questions are developed through an iterative co-creation process involving policymakers, planners, and other mobility and built environment stakeholders, with the aim of enhancing relevance for policy and planning applications. Specifically, in dynamic in-person and online co-creation sessions with stakeholders, participants develop questions sets designed to collect complementary perspectives from children and caregivers, focusing on individual-level factors, including psychological and developmental attributes (e.g., confidence and travel attitudes), well-being outcomes (e.g., feelings experienced when travelling), interpersonal factors (e.g., mobility permissions and safety concerns), community influences (e.g., informal social control), and sociodemographic characteristics (e.g., income). Once the co-created surveys are developed, they are piloted with children from diverse regions and household structures through structured interviews conducted under caregivers’ or teachers’ supervision. This interview-based piloting approach allows children, youths, and caregivers to elaborate on their experiences, helping to identify potential gaps in the survey. By grounding survey design in a conceptual framework and engaging stakeholders through a co-creation process, we ensure that household surveys capture both theoretical determinants and lived experiences of children’s, youths’, and caregivers’ mobility. Such methodologically rigorous and participatory surveys are essential for generating high-quality data that can inform policies and interventions to support safe, inclusive, and context-sensitive travel opportunities for active travel users of all ages.</w:t>
            </w:r>
            <w:r w:rsidRPr="008314A9">
              <w:rPr>
                <w:rFonts w:ascii="Arial" w:eastAsia="Times New Roman" w:hAnsi="Arial" w:cs="Arial"/>
                <w:color w:val="27251E"/>
                <w:kern w:val="0"/>
                <w:sz w:val="22"/>
                <w:szCs w:val="22"/>
                <w:lang w:eastAsia="en-GB"/>
                <w14:ligatures w14:val="none"/>
              </w:rPr>
              <w:t> </w:t>
            </w:r>
          </w:p>
          <w:p w14:paraId="4AA8C399" w14:textId="77777777" w:rsidR="0015603F" w:rsidRPr="008314A9" w:rsidRDefault="0015603F" w:rsidP="008314A9">
            <w:pPr>
              <w:spacing w:after="0" w:line="240" w:lineRule="auto"/>
              <w:textAlignment w:val="baseline"/>
              <w:rPr>
                <w:rFonts w:ascii="Segoe UI" w:eastAsia="Times New Roman" w:hAnsi="Segoe UI" w:cs="Segoe UI"/>
                <w:kern w:val="0"/>
                <w:sz w:val="18"/>
                <w:szCs w:val="18"/>
                <w:lang w:eastAsia="en-GB"/>
                <w14:ligatures w14:val="none"/>
              </w:rPr>
            </w:pPr>
          </w:p>
        </w:tc>
      </w:tr>
      <w:tr w:rsidR="0015603F" w:rsidRPr="008314A9" w14:paraId="26E4E766" w14:textId="77777777" w:rsidTr="0015603F">
        <w:trPr>
          <w:trHeight w:val="285"/>
        </w:trPr>
        <w:tc>
          <w:tcPr>
            <w:tcW w:w="1661" w:type="dxa"/>
            <w:tcBorders>
              <w:top w:val="single" w:sz="2" w:space="0" w:color="auto"/>
              <w:left w:val="single" w:sz="2" w:space="0" w:color="auto"/>
              <w:bottom w:val="single" w:sz="6" w:space="0" w:color="auto"/>
              <w:right w:val="single" w:sz="6" w:space="0" w:color="auto"/>
            </w:tcBorders>
            <w:hideMark/>
          </w:tcPr>
          <w:p w14:paraId="7CCD67FE" w14:textId="77777777" w:rsidR="0015603F" w:rsidRPr="008314A9" w:rsidRDefault="0015603F" w:rsidP="008314A9">
            <w:pPr>
              <w:spacing w:after="0" w:line="240" w:lineRule="auto"/>
              <w:textAlignment w:val="baseline"/>
              <w:rPr>
                <w:rFonts w:ascii="Segoe UI" w:eastAsia="Times New Roman" w:hAnsi="Segoe UI" w:cs="Segoe UI"/>
                <w:kern w:val="0"/>
                <w:sz w:val="18"/>
                <w:szCs w:val="18"/>
                <w:lang w:eastAsia="en-GB"/>
                <w14:ligatures w14:val="none"/>
              </w:rPr>
            </w:pPr>
            <w:r w:rsidRPr="008314A9">
              <w:rPr>
                <w:rFonts w:ascii="Arial" w:eastAsia="Times New Roman" w:hAnsi="Arial" w:cs="Arial"/>
                <w:color w:val="27251E"/>
                <w:kern w:val="0"/>
                <w:sz w:val="22"/>
                <w:szCs w:val="22"/>
                <w:lang w:val="en-US" w:eastAsia="en-GB"/>
                <w14:ligatures w14:val="none"/>
              </w:rPr>
              <w:lastRenderedPageBreak/>
              <w:t xml:space="preserve">Thomas Verbeek - </w:t>
            </w:r>
            <w:r w:rsidRPr="008314A9">
              <w:rPr>
                <w:rFonts w:ascii="Arial" w:eastAsia="Times New Roman" w:hAnsi="Arial" w:cs="Arial"/>
                <w:b/>
                <w:bCs/>
                <w:color w:val="27251E"/>
                <w:kern w:val="0"/>
                <w:sz w:val="22"/>
                <w:szCs w:val="22"/>
                <w:lang w:val="en-US" w:eastAsia="en-GB"/>
                <w14:ligatures w14:val="none"/>
              </w:rPr>
              <w:t xml:space="preserve">Improving local accessibility and promoting active mobility in large-scale housing estates: findings and experiences </w:t>
            </w:r>
            <w:r w:rsidRPr="008314A9">
              <w:rPr>
                <w:rFonts w:ascii="Arial" w:eastAsia="Times New Roman" w:hAnsi="Arial" w:cs="Arial"/>
                <w:b/>
                <w:bCs/>
                <w:color w:val="27251E"/>
                <w:kern w:val="0"/>
                <w:sz w:val="22"/>
                <w:szCs w:val="22"/>
                <w:lang w:val="en-US" w:eastAsia="en-GB"/>
                <w14:ligatures w14:val="none"/>
              </w:rPr>
              <w:lastRenderedPageBreak/>
              <w:t>from the 15minESTATES project</w:t>
            </w:r>
            <w:r w:rsidRPr="008314A9">
              <w:rPr>
                <w:rFonts w:ascii="Arial" w:eastAsia="Times New Roman" w:hAnsi="Arial" w:cs="Arial"/>
                <w:color w:val="27251E"/>
                <w:kern w:val="0"/>
                <w:sz w:val="22"/>
                <w:szCs w:val="22"/>
                <w:lang w:eastAsia="en-GB"/>
                <w14:ligatures w14:val="none"/>
              </w:rPr>
              <w:t> </w:t>
            </w:r>
          </w:p>
        </w:tc>
        <w:tc>
          <w:tcPr>
            <w:tcW w:w="7692" w:type="dxa"/>
            <w:tcBorders>
              <w:top w:val="single" w:sz="2" w:space="0" w:color="auto"/>
              <w:left w:val="single" w:sz="2" w:space="0" w:color="auto"/>
              <w:bottom w:val="single" w:sz="6" w:space="0" w:color="auto"/>
              <w:right w:val="single" w:sz="2" w:space="0" w:color="auto"/>
            </w:tcBorders>
            <w:hideMark/>
          </w:tcPr>
          <w:p w14:paraId="0E2B942D" w14:textId="77777777" w:rsidR="0015603F" w:rsidRPr="008314A9" w:rsidRDefault="0015603F" w:rsidP="008314A9">
            <w:pPr>
              <w:spacing w:after="0" w:line="240" w:lineRule="auto"/>
              <w:textAlignment w:val="baseline"/>
              <w:rPr>
                <w:rFonts w:ascii="Segoe UI" w:eastAsia="Times New Roman" w:hAnsi="Segoe UI" w:cs="Segoe UI"/>
                <w:kern w:val="0"/>
                <w:sz w:val="18"/>
                <w:szCs w:val="18"/>
                <w:lang w:eastAsia="en-GB"/>
                <w14:ligatures w14:val="none"/>
              </w:rPr>
            </w:pPr>
            <w:r w:rsidRPr="008314A9">
              <w:rPr>
                <w:rFonts w:ascii="Arial" w:eastAsia="Times New Roman" w:hAnsi="Arial" w:cs="Arial"/>
                <w:color w:val="27251E"/>
                <w:kern w:val="0"/>
                <w:sz w:val="22"/>
                <w:szCs w:val="22"/>
                <w:lang w:val="en-US" w:eastAsia="en-GB"/>
                <w14:ligatures w14:val="none"/>
              </w:rPr>
              <w:lastRenderedPageBreak/>
              <w:t>10 min + 5 min Q&amp;A</w:t>
            </w:r>
            <w:r w:rsidRPr="008314A9">
              <w:rPr>
                <w:rFonts w:ascii="Arial" w:eastAsia="Times New Roman" w:hAnsi="Arial" w:cs="Arial"/>
                <w:color w:val="27251E"/>
                <w:kern w:val="0"/>
                <w:sz w:val="22"/>
                <w:szCs w:val="22"/>
                <w:lang w:eastAsia="en-GB"/>
                <w14:ligatures w14:val="none"/>
              </w:rPr>
              <w:t> </w:t>
            </w:r>
          </w:p>
          <w:p w14:paraId="38E02A23" w14:textId="77777777" w:rsidR="0015603F" w:rsidRPr="008314A9" w:rsidRDefault="0015603F" w:rsidP="008314A9">
            <w:pPr>
              <w:spacing w:after="0" w:line="240" w:lineRule="auto"/>
              <w:textAlignment w:val="baseline"/>
              <w:rPr>
                <w:rFonts w:ascii="Segoe UI" w:eastAsia="Times New Roman" w:hAnsi="Segoe UI" w:cs="Segoe UI"/>
                <w:kern w:val="0"/>
                <w:sz w:val="18"/>
                <w:szCs w:val="18"/>
                <w:lang w:eastAsia="en-GB"/>
                <w14:ligatures w14:val="none"/>
              </w:rPr>
            </w:pPr>
            <w:r w:rsidRPr="008314A9">
              <w:rPr>
                <w:rFonts w:ascii="Arial" w:eastAsia="Times New Roman" w:hAnsi="Arial" w:cs="Arial"/>
                <w:color w:val="27251E"/>
                <w:kern w:val="0"/>
                <w:sz w:val="22"/>
                <w:szCs w:val="22"/>
                <w:lang w:eastAsia="en-GB"/>
                <w14:ligatures w14:val="none"/>
              </w:rPr>
              <w:t> </w:t>
            </w:r>
          </w:p>
          <w:p w14:paraId="0ABD4581" w14:textId="77777777" w:rsidR="0015603F" w:rsidRDefault="0015603F" w:rsidP="008314A9">
            <w:pPr>
              <w:spacing w:after="0" w:line="240" w:lineRule="auto"/>
              <w:textAlignment w:val="baseline"/>
              <w:rPr>
                <w:rFonts w:ascii="Arial" w:eastAsia="Times New Roman" w:hAnsi="Arial" w:cs="Arial"/>
                <w:color w:val="27251E"/>
                <w:kern w:val="0"/>
                <w:sz w:val="22"/>
                <w:szCs w:val="22"/>
                <w:lang w:eastAsia="en-GB"/>
                <w14:ligatures w14:val="none"/>
              </w:rPr>
            </w:pPr>
            <w:r w:rsidRPr="008314A9">
              <w:rPr>
                <w:rFonts w:ascii="Arial" w:eastAsia="Times New Roman" w:hAnsi="Arial" w:cs="Arial"/>
                <w:color w:val="27251E"/>
                <w:kern w:val="0"/>
                <w:sz w:val="22"/>
                <w:szCs w:val="22"/>
                <w:lang w:val="en-US" w:eastAsia="en-GB"/>
                <w14:ligatures w14:val="none"/>
              </w:rPr>
              <w:t xml:space="preserve">"Abstract: Large-scale housing estates (LHEs) present a unique setting for advancing the sustainable mobility transition. Largely built between the 1960s and 1990s, they were typically developed on the urban periphery at inexpensive locations following specific spatial configurations and urban design principles, such as the provision of open green space between apartment building blocks and a functional large-scale transport infrastructure focused on cars and public transit, supplemented by car-free inner areas. Furthermore, they implemented the idea that the neighbourhood should provide everyday services, like schools, neighbourhood centres, healthcare </w:t>
            </w:r>
            <w:r w:rsidRPr="008314A9">
              <w:rPr>
                <w:rFonts w:ascii="Arial" w:eastAsia="Times New Roman" w:hAnsi="Arial" w:cs="Arial"/>
                <w:color w:val="27251E"/>
                <w:kern w:val="0"/>
                <w:sz w:val="22"/>
                <w:szCs w:val="22"/>
                <w:lang w:val="en-US" w:eastAsia="en-GB"/>
                <w14:ligatures w14:val="none"/>
              </w:rPr>
              <w:lastRenderedPageBreak/>
              <w:t>and essential shopping. Although the design principles and ideas of LHEs were similar across Europe, they have followed different development trajectories since their construction. For example, LHEs have often been viewed negatively in Northern and Western Europe, whereas living in an LHE remains more commonplace in Southern and Eastern Europe. In several European countries, growing socioeconomic disparities in urban societies become increasingly visible in LHEs, following immigration, segregation, and marginalization processes.</w:t>
            </w:r>
            <w:r w:rsidRPr="008314A9">
              <w:rPr>
                <w:rFonts w:ascii="Arial" w:eastAsia="Times New Roman" w:hAnsi="Arial" w:cs="Arial"/>
                <w:color w:val="27251E"/>
                <w:kern w:val="0"/>
                <w:sz w:val="22"/>
                <w:szCs w:val="22"/>
                <w:lang w:eastAsia="en-GB"/>
                <w14:ligatures w14:val="none"/>
              </w:rPr>
              <w:t> </w:t>
            </w:r>
          </w:p>
          <w:p w14:paraId="258ABCAB" w14:textId="77777777" w:rsidR="0015603F" w:rsidRPr="008314A9" w:rsidRDefault="0015603F" w:rsidP="008314A9">
            <w:pPr>
              <w:spacing w:after="0" w:line="240" w:lineRule="auto"/>
              <w:textAlignment w:val="baseline"/>
              <w:rPr>
                <w:rFonts w:ascii="Segoe UI" w:eastAsia="Times New Roman" w:hAnsi="Segoe UI" w:cs="Segoe UI"/>
                <w:kern w:val="0"/>
                <w:sz w:val="18"/>
                <w:szCs w:val="18"/>
                <w:lang w:eastAsia="en-GB"/>
                <w14:ligatures w14:val="none"/>
              </w:rPr>
            </w:pPr>
          </w:p>
          <w:p w14:paraId="1A200F9A" w14:textId="77777777" w:rsidR="0015603F" w:rsidRPr="008314A9" w:rsidRDefault="0015603F" w:rsidP="008314A9">
            <w:pPr>
              <w:spacing w:after="0" w:line="240" w:lineRule="auto"/>
              <w:textAlignment w:val="baseline"/>
              <w:rPr>
                <w:rFonts w:ascii="Segoe UI" w:eastAsia="Times New Roman" w:hAnsi="Segoe UI" w:cs="Segoe UI"/>
                <w:kern w:val="0"/>
                <w:sz w:val="18"/>
                <w:szCs w:val="18"/>
                <w:lang w:eastAsia="en-GB"/>
                <w14:ligatures w14:val="none"/>
              </w:rPr>
            </w:pPr>
            <w:r w:rsidRPr="008314A9">
              <w:rPr>
                <w:rFonts w:ascii="Arial" w:eastAsia="Times New Roman" w:hAnsi="Arial" w:cs="Arial"/>
                <w:color w:val="27251E"/>
                <w:kern w:val="0"/>
                <w:sz w:val="22"/>
                <w:szCs w:val="22"/>
                <w:lang w:val="en-US" w:eastAsia="en-GB"/>
                <w14:ligatures w14:val="none"/>
              </w:rPr>
              <w:t>Today, LHEs are home to more than 40 million people in Europe alone and present a complex socio-spatial setting in which the quality and provision of urban functions and amenities, opportunities for active travel, and overall liveability are often under pressure. Considering the renewed interest in proximity-based planning approaches, symbolized by the 15-minute city concept, these areas present unique challenges and opportunities. Spatially, there is sufficient population density for providing a basic level of services and amenities, but over the years, and to varying degrees, many of these services and amenities have disappeared from these areas. Given the often-peripheral locations and spacious layout of these neighbourhoods, many residents have become dependent on the car, as the availability of public transport has come under strain and walking and cycling infrastructure has often been neglected. Socially, many LHEs have become multicultural environments with increasing levels of deprivation, ageing and loneliness. Altogether, the ingrained spatial features and the social practices of a vulnerable local population complicate a just, accepted and sustainable mobility transition. </w:t>
            </w:r>
            <w:r w:rsidRPr="008314A9">
              <w:rPr>
                <w:rFonts w:ascii="Arial" w:eastAsia="Times New Roman" w:hAnsi="Arial" w:cs="Arial"/>
                <w:color w:val="27251E"/>
                <w:kern w:val="0"/>
                <w:sz w:val="22"/>
                <w:szCs w:val="22"/>
                <w:lang w:eastAsia="en-GB"/>
                <w14:ligatures w14:val="none"/>
              </w:rPr>
              <w:t> </w:t>
            </w:r>
          </w:p>
          <w:p w14:paraId="4E8A93EA" w14:textId="77777777" w:rsidR="0015603F" w:rsidRDefault="0015603F" w:rsidP="008314A9">
            <w:pPr>
              <w:spacing w:after="0" w:line="240" w:lineRule="auto"/>
              <w:textAlignment w:val="baseline"/>
              <w:rPr>
                <w:rFonts w:ascii="Arial" w:eastAsia="Times New Roman" w:hAnsi="Arial" w:cs="Arial"/>
                <w:color w:val="27251E"/>
                <w:kern w:val="0"/>
                <w:sz w:val="22"/>
                <w:szCs w:val="22"/>
                <w:lang w:eastAsia="en-GB"/>
                <w14:ligatures w14:val="none"/>
              </w:rPr>
            </w:pPr>
            <w:r w:rsidRPr="008314A9">
              <w:rPr>
                <w:rFonts w:ascii="Arial" w:eastAsia="Times New Roman" w:hAnsi="Arial" w:cs="Arial"/>
                <w:color w:val="27251E"/>
                <w:kern w:val="0"/>
                <w:sz w:val="22"/>
                <w:szCs w:val="22"/>
                <w:lang w:val="en-US" w:eastAsia="en-GB"/>
                <w14:ligatures w14:val="none"/>
              </w:rPr>
              <w:t>Despite the importance of these urban settings, we still lack a comprehensive understanding of mobility options and practices in LHEs, and of which interventions and strategies can effectively improve active mobility and local accessibility. That is why, in the European research project 15minESTATES, we focus on LHEs across Europe, critically applying the 15-minute city concept. Across five case studies, we examined spatial structures, transport options, the location of functions and amenities, travel behaviour, and residents’ needs, perceptions, and satisfaction through a combination of surveys, walking interviews, and spatial data analysis. The findings provide input for a co-creative process with local stakeholders, supported by modelling, where we try to identify concrete solutions and strategies to promote active mobility and the use of local functions and amenities. As the project enters its final stage, we will present the main findings and reflect on the research methods and co-creation process."</w:t>
            </w:r>
            <w:r w:rsidRPr="008314A9">
              <w:rPr>
                <w:rFonts w:ascii="Arial" w:eastAsia="Times New Roman" w:hAnsi="Arial" w:cs="Arial"/>
                <w:color w:val="27251E"/>
                <w:kern w:val="0"/>
                <w:sz w:val="22"/>
                <w:szCs w:val="22"/>
                <w:lang w:eastAsia="en-GB"/>
                <w14:ligatures w14:val="none"/>
              </w:rPr>
              <w:t> </w:t>
            </w:r>
          </w:p>
          <w:p w14:paraId="5B034117" w14:textId="77777777" w:rsidR="0015603F" w:rsidRPr="008314A9" w:rsidRDefault="0015603F" w:rsidP="008314A9">
            <w:pPr>
              <w:spacing w:after="0" w:line="240" w:lineRule="auto"/>
              <w:textAlignment w:val="baseline"/>
              <w:rPr>
                <w:rFonts w:ascii="Segoe UI" w:eastAsia="Times New Roman" w:hAnsi="Segoe UI" w:cs="Segoe UI"/>
                <w:kern w:val="0"/>
                <w:sz w:val="18"/>
                <w:szCs w:val="18"/>
                <w:lang w:eastAsia="en-GB"/>
                <w14:ligatures w14:val="none"/>
              </w:rPr>
            </w:pPr>
          </w:p>
        </w:tc>
      </w:tr>
      <w:tr w:rsidR="0015603F" w:rsidRPr="008314A9" w14:paraId="4B359DA9" w14:textId="77777777" w:rsidTr="0015603F">
        <w:trPr>
          <w:trHeight w:val="675"/>
        </w:trPr>
        <w:tc>
          <w:tcPr>
            <w:tcW w:w="1661" w:type="dxa"/>
            <w:tcBorders>
              <w:top w:val="single" w:sz="2" w:space="0" w:color="auto"/>
              <w:left w:val="single" w:sz="2" w:space="0" w:color="auto"/>
              <w:bottom w:val="single" w:sz="6" w:space="0" w:color="auto"/>
              <w:right w:val="single" w:sz="6" w:space="0" w:color="auto"/>
            </w:tcBorders>
            <w:hideMark/>
          </w:tcPr>
          <w:p w14:paraId="368DF7F1" w14:textId="77777777" w:rsidR="0015603F" w:rsidRPr="008314A9" w:rsidRDefault="0015603F" w:rsidP="008314A9">
            <w:pPr>
              <w:spacing w:after="0" w:line="240" w:lineRule="auto"/>
              <w:textAlignment w:val="baseline"/>
              <w:rPr>
                <w:rFonts w:ascii="Segoe UI" w:eastAsia="Times New Roman" w:hAnsi="Segoe UI" w:cs="Segoe UI"/>
                <w:kern w:val="0"/>
                <w:sz w:val="18"/>
                <w:szCs w:val="18"/>
                <w:lang w:eastAsia="en-GB"/>
                <w14:ligatures w14:val="none"/>
              </w:rPr>
            </w:pPr>
            <w:r w:rsidRPr="008314A9">
              <w:rPr>
                <w:rFonts w:ascii="Arial" w:eastAsia="Times New Roman" w:hAnsi="Arial" w:cs="Arial"/>
                <w:b/>
                <w:bCs/>
                <w:color w:val="27251E"/>
                <w:kern w:val="0"/>
                <w:sz w:val="22"/>
                <w:szCs w:val="22"/>
                <w:lang w:val="en-US" w:eastAsia="en-GB"/>
                <w14:ligatures w14:val="none"/>
              </w:rPr>
              <w:lastRenderedPageBreak/>
              <w:t>Coffee Break</w:t>
            </w:r>
            <w:r w:rsidRPr="008314A9">
              <w:rPr>
                <w:rFonts w:ascii="Arial" w:eastAsia="Times New Roman" w:hAnsi="Arial" w:cs="Arial"/>
                <w:color w:val="27251E"/>
                <w:kern w:val="0"/>
                <w:sz w:val="22"/>
                <w:szCs w:val="22"/>
                <w:lang w:eastAsia="en-GB"/>
                <w14:ligatures w14:val="none"/>
              </w:rPr>
              <w:t> </w:t>
            </w:r>
          </w:p>
        </w:tc>
        <w:tc>
          <w:tcPr>
            <w:tcW w:w="7692" w:type="dxa"/>
            <w:tcBorders>
              <w:top w:val="single" w:sz="2" w:space="0" w:color="auto"/>
              <w:left w:val="single" w:sz="2" w:space="0" w:color="auto"/>
              <w:bottom w:val="single" w:sz="6" w:space="0" w:color="auto"/>
              <w:right w:val="single" w:sz="2" w:space="0" w:color="auto"/>
            </w:tcBorders>
            <w:hideMark/>
          </w:tcPr>
          <w:p w14:paraId="2BE354B6" w14:textId="48D6FFAB" w:rsidR="0015603F" w:rsidRPr="008314A9" w:rsidRDefault="0015603F" w:rsidP="008314A9">
            <w:pPr>
              <w:spacing w:after="0" w:line="240" w:lineRule="auto"/>
              <w:textAlignment w:val="baseline"/>
              <w:rPr>
                <w:rFonts w:ascii="Segoe UI" w:eastAsia="Times New Roman" w:hAnsi="Segoe UI" w:cs="Segoe UI"/>
                <w:kern w:val="0"/>
                <w:sz w:val="18"/>
                <w:szCs w:val="18"/>
                <w:lang w:eastAsia="en-GB"/>
                <w14:ligatures w14:val="none"/>
              </w:rPr>
            </w:pPr>
          </w:p>
        </w:tc>
      </w:tr>
      <w:tr w:rsidR="0015603F" w:rsidRPr="008314A9" w14:paraId="294A7DF7" w14:textId="77777777" w:rsidTr="0015603F">
        <w:trPr>
          <w:trHeight w:val="285"/>
        </w:trPr>
        <w:tc>
          <w:tcPr>
            <w:tcW w:w="1661" w:type="dxa"/>
            <w:tcBorders>
              <w:top w:val="single" w:sz="2" w:space="0" w:color="auto"/>
              <w:left w:val="single" w:sz="2" w:space="0" w:color="auto"/>
              <w:bottom w:val="single" w:sz="6" w:space="0" w:color="auto"/>
              <w:right w:val="single" w:sz="6" w:space="0" w:color="auto"/>
            </w:tcBorders>
            <w:hideMark/>
          </w:tcPr>
          <w:p w14:paraId="62EE4A8A" w14:textId="77777777" w:rsidR="0015603F" w:rsidRPr="008314A9" w:rsidRDefault="0015603F" w:rsidP="008314A9">
            <w:pPr>
              <w:spacing w:after="0" w:line="240" w:lineRule="auto"/>
              <w:textAlignment w:val="baseline"/>
              <w:rPr>
                <w:rFonts w:ascii="Segoe UI" w:eastAsia="Times New Roman" w:hAnsi="Segoe UI" w:cs="Segoe UI"/>
                <w:kern w:val="0"/>
                <w:sz w:val="18"/>
                <w:szCs w:val="18"/>
                <w:lang w:eastAsia="en-GB"/>
                <w14:ligatures w14:val="none"/>
              </w:rPr>
            </w:pPr>
            <w:r w:rsidRPr="008314A9">
              <w:rPr>
                <w:rFonts w:ascii="Arial" w:eastAsia="Times New Roman" w:hAnsi="Arial" w:cs="Arial"/>
                <w:color w:val="27251E"/>
                <w:kern w:val="0"/>
                <w:sz w:val="22"/>
                <w:szCs w:val="22"/>
                <w:lang w:val="en-US" w:eastAsia="en-GB"/>
                <w14:ligatures w14:val="none"/>
              </w:rPr>
              <w:t xml:space="preserve">Annemiek Prins, Luca Bertolini – </w:t>
            </w:r>
            <w:r w:rsidRPr="008314A9">
              <w:rPr>
                <w:rFonts w:ascii="Arial" w:eastAsia="Times New Roman" w:hAnsi="Arial" w:cs="Arial"/>
                <w:b/>
                <w:bCs/>
                <w:color w:val="27251E"/>
                <w:kern w:val="0"/>
                <w:sz w:val="22"/>
                <w:szCs w:val="22"/>
                <w:lang w:val="en-US" w:eastAsia="en-GB"/>
                <w14:ligatures w14:val="none"/>
              </w:rPr>
              <w:t>Commoning accessibility: A bottom-up approach to proximity?</w:t>
            </w:r>
            <w:r w:rsidRPr="008314A9">
              <w:rPr>
                <w:rFonts w:ascii="Arial" w:eastAsia="Times New Roman" w:hAnsi="Arial" w:cs="Arial"/>
                <w:color w:val="27251E"/>
                <w:kern w:val="0"/>
                <w:sz w:val="22"/>
                <w:szCs w:val="22"/>
                <w:lang w:eastAsia="en-GB"/>
                <w14:ligatures w14:val="none"/>
              </w:rPr>
              <w:t> </w:t>
            </w:r>
          </w:p>
        </w:tc>
        <w:tc>
          <w:tcPr>
            <w:tcW w:w="7692" w:type="dxa"/>
            <w:tcBorders>
              <w:top w:val="single" w:sz="2" w:space="0" w:color="auto"/>
              <w:left w:val="single" w:sz="2" w:space="0" w:color="auto"/>
              <w:bottom w:val="single" w:sz="6" w:space="0" w:color="auto"/>
              <w:right w:val="single" w:sz="2" w:space="0" w:color="auto"/>
            </w:tcBorders>
            <w:hideMark/>
          </w:tcPr>
          <w:p w14:paraId="4035865A" w14:textId="77777777" w:rsidR="0015603F" w:rsidRPr="008314A9" w:rsidRDefault="0015603F" w:rsidP="008314A9">
            <w:pPr>
              <w:spacing w:after="0" w:line="240" w:lineRule="auto"/>
              <w:textAlignment w:val="baseline"/>
              <w:rPr>
                <w:rFonts w:ascii="Segoe UI" w:eastAsia="Times New Roman" w:hAnsi="Segoe UI" w:cs="Segoe UI"/>
                <w:kern w:val="0"/>
                <w:sz w:val="18"/>
                <w:szCs w:val="18"/>
                <w:lang w:eastAsia="en-GB"/>
                <w14:ligatures w14:val="none"/>
              </w:rPr>
            </w:pPr>
            <w:r w:rsidRPr="008314A9">
              <w:rPr>
                <w:rFonts w:ascii="Arial" w:eastAsia="Times New Roman" w:hAnsi="Arial" w:cs="Arial"/>
                <w:color w:val="27251E"/>
                <w:kern w:val="0"/>
                <w:sz w:val="22"/>
                <w:szCs w:val="22"/>
                <w:lang w:val="en-US" w:eastAsia="en-GB"/>
                <w14:ligatures w14:val="none"/>
              </w:rPr>
              <w:t>10 min + 5 min Q&amp;A</w:t>
            </w:r>
            <w:r w:rsidRPr="008314A9">
              <w:rPr>
                <w:rFonts w:ascii="Arial" w:eastAsia="Times New Roman" w:hAnsi="Arial" w:cs="Arial"/>
                <w:color w:val="27251E"/>
                <w:kern w:val="0"/>
                <w:sz w:val="22"/>
                <w:szCs w:val="22"/>
                <w:lang w:eastAsia="en-GB"/>
                <w14:ligatures w14:val="none"/>
              </w:rPr>
              <w:t> </w:t>
            </w:r>
          </w:p>
          <w:p w14:paraId="607011B8" w14:textId="77777777" w:rsidR="0015603F" w:rsidRPr="008314A9" w:rsidRDefault="0015603F" w:rsidP="008314A9">
            <w:pPr>
              <w:spacing w:after="0" w:line="240" w:lineRule="auto"/>
              <w:textAlignment w:val="baseline"/>
              <w:rPr>
                <w:rFonts w:ascii="Segoe UI" w:eastAsia="Times New Roman" w:hAnsi="Segoe UI" w:cs="Segoe UI"/>
                <w:kern w:val="0"/>
                <w:sz w:val="18"/>
                <w:szCs w:val="18"/>
                <w:lang w:eastAsia="en-GB"/>
                <w14:ligatures w14:val="none"/>
              </w:rPr>
            </w:pPr>
            <w:r w:rsidRPr="008314A9">
              <w:rPr>
                <w:rFonts w:ascii="Arial" w:eastAsia="Times New Roman" w:hAnsi="Arial" w:cs="Arial"/>
                <w:color w:val="27251E"/>
                <w:kern w:val="0"/>
                <w:sz w:val="22"/>
                <w:szCs w:val="22"/>
                <w:lang w:eastAsia="en-GB"/>
                <w14:ligatures w14:val="none"/>
              </w:rPr>
              <w:t> </w:t>
            </w:r>
          </w:p>
          <w:p w14:paraId="4664B6AE" w14:textId="77777777" w:rsidR="0015603F" w:rsidRPr="008314A9" w:rsidRDefault="0015603F" w:rsidP="008314A9">
            <w:pPr>
              <w:spacing w:after="0" w:line="240" w:lineRule="auto"/>
              <w:textAlignment w:val="baseline"/>
              <w:rPr>
                <w:rFonts w:ascii="Segoe UI" w:eastAsia="Times New Roman" w:hAnsi="Segoe UI" w:cs="Segoe UI"/>
                <w:kern w:val="0"/>
                <w:sz w:val="18"/>
                <w:szCs w:val="18"/>
                <w:lang w:eastAsia="en-GB"/>
                <w14:ligatures w14:val="none"/>
              </w:rPr>
            </w:pPr>
            <w:r w:rsidRPr="008314A9">
              <w:rPr>
                <w:rFonts w:ascii="Arial" w:eastAsia="Times New Roman" w:hAnsi="Arial" w:cs="Arial"/>
                <w:color w:val="27251E"/>
                <w:kern w:val="0"/>
                <w:sz w:val="22"/>
                <w:szCs w:val="22"/>
                <w:lang w:val="en-US" w:eastAsia="en-GB"/>
                <w14:ligatures w14:val="none"/>
              </w:rPr>
              <w:t xml:space="preserve">Abstract: The 15-minute city concept has become an influential paradigm for envisioning proximity in urban areas and beyond. At the same time, it has been critiqued for espousing an overly top-down approach that perpetuates distinct biases towards middle-class lifestyles and consumption patterns, high density urban centres, and self-sufficient neighbourhoods. This paper proposes an alternative lens to look at proximity from a bottom-up perspective – commoning accessibility – and a different spatial context – peripheral and rural areas. Commoning accessibility refers to the ways in which communities seek to (re)claim accessibility as a common good, and includes practices such as community transport initiatives, peer-to-peer carsharing, and grassroots efforts to create and sustain vital social infrastructures, including care facilities, </w:t>
            </w:r>
            <w:r w:rsidRPr="008314A9">
              <w:rPr>
                <w:rFonts w:ascii="Arial" w:eastAsia="Times New Roman" w:hAnsi="Arial" w:cs="Arial"/>
                <w:color w:val="27251E"/>
                <w:kern w:val="0"/>
                <w:sz w:val="22"/>
                <w:szCs w:val="22"/>
                <w:lang w:val="en-US" w:eastAsia="en-GB"/>
                <w14:ligatures w14:val="none"/>
              </w:rPr>
              <w:lastRenderedPageBreak/>
              <w:t>communal green spaces, and neighborhood gathering spaces. Grounded in empirical research in peripheral and rural areas in the Netherlands, this paper speculates on how a focus on commoning accessibility practices might enrich, complement, and challenge 15-minute city frameworks. We argue that these practices are important catalysts for forms of proximity that do not always register in official assessments of service and amenity levels, as they bundle activities and functions through informal and grassroots logics. Commoning accessibility practices draw attention not only to what citizens themselves consider important destinations, but also to the situated needs, desires, and values underpinning them. Moreover, by transforming certain local assets – such as land and buildings – into social infrastructures they may also contribute to the decommodification of public space. Furthermore, the abundant presence of these practices in peripheral and rural areas expands our understanding of what proximity can mean beyond the urban core.</w:t>
            </w:r>
            <w:r w:rsidRPr="008314A9">
              <w:rPr>
                <w:rFonts w:ascii="Arial" w:eastAsia="Times New Roman" w:hAnsi="Arial" w:cs="Arial"/>
                <w:color w:val="27251E"/>
                <w:kern w:val="0"/>
                <w:sz w:val="22"/>
                <w:szCs w:val="22"/>
                <w:lang w:eastAsia="en-GB"/>
                <w14:ligatures w14:val="none"/>
              </w:rPr>
              <w:t> </w:t>
            </w:r>
          </w:p>
          <w:p w14:paraId="20C10E33" w14:textId="77777777" w:rsidR="0015603F" w:rsidRPr="008314A9" w:rsidRDefault="0015603F" w:rsidP="008314A9">
            <w:pPr>
              <w:spacing w:after="0" w:line="240" w:lineRule="auto"/>
              <w:textAlignment w:val="baseline"/>
              <w:rPr>
                <w:rFonts w:ascii="Segoe UI" w:eastAsia="Times New Roman" w:hAnsi="Segoe UI" w:cs="Segoe UI"/>
                <w:kern w:val="0"/>
                <w:sz w:val="18"/>
                <w:szCs w:val="18"/>
                <w:lang w:eastAsia="en-GB"/>
                <w14:ligatures w14:val="none"/>
              </w:rPr>
            </w:pPr>
            <w:r w:rsidRPr="008314A9">
              <w:rPr>
                <w:rFonts w:ascii="Arial" w:eastAsia="Times New Roman" w:hAnsi="Arial" w:cs="Arial"/>
                <w:color w:val="27251E"/>
                <w:kern w:val="0"/>
                <w:sz w:val="22"/>
                <w:szCs w:val="22"/>
                <w:lang w:eastAsia="en-GB"/>
                <w14:ligatures w14:val="none"/>
              </w:rPr>
              <w:t> </w:t>
            </w:r>
          </w:p>
        </w:tc>
      </w:tr>
      <w:tr w:rsidR="0015603F" w:rsidRPr="008314A9" w14:paraId="0841773F" w14:textId="77777777" w:rsidTr="0015603F">
        <w:trPr>
          <w:trHeight w:val="285"/>
        </w:trPr>
        <w:tc>
          <w:tcPr>
            <w:tcW w:w="1661" w:type="dxa"/>
            <w:tcBorders>
              <w:top w:val="single" w:sz="2" w:space="0" w:color="auto"/>
              <w:left w:val="single" w:sz="2" w:space="0" w:color="auto"/>
              <w:bottom w:val="single" w:sz="6" w:space="0" w:color="auto"/>
              <w:right w:val="single" w:sz="6" w:space="0" w:color="auto"/>
            </w:tcBorders>
            <w:hideMark/>
          </w:tcPr>
          <w:p w14:paraId="29CF327E" w14:textId="77777777" w:rsidR="0015603F" w:rsidRPr="008314A9" w:rsidRDefault="0015603F" w:rsidP="008314A9">
            <w:pPr>
              <w:spacing w:after="0" w:line="240" w:lineRule="auto"/>
              <w:textAlignment w:val="baseline"/>
              <w:rPr>
                <w:rFonts w:ascii="Segoe UI" w:eastAsia="Times New Roman" w:hAnsi="Segoe UI" w:cs="Segoe UI"/>
                <w:kern w:val="0"/>
                <w:sz w:val="18"/>
                <w:szCs w:val="18"/>
                <w:lang w:eastAsia="en-GB"/>
                <w14:ligatures w14:val="none"/>
              </w:rPr>
            </w:pPr>
            <w:r w:rsidRPr="008314A9">
              <w:rPr>
                <w:rFonts w:ascii="Arial" w:eastAsia="Times New Roman" w:hAnsi="Arial" w:cs="Arial"/>
                <w:color w:val="27251E"/>
                <w:kern w:val="0"/>
                <w:sz w:val="22"/>
                <w:szCs w:val="22"/>
                <w:lang w:val="en-US" w:eastAsia="en-GB"/>
                <w14:ligatures w14:val="none"/>
              </w:rPr>
              <w:lastRenderedPageBreak/>
              <w:t xml:space="preserve">Stephanie Geertman - </w:t>
            </w:r>
            <w:r w:rsidRPr="008314A9">
              <w:rPr>
                <w:rFonts w:ascii="Arial" w:eastAsia="Times New Roman" w:hAnsi="Arial" w:cs="Arial"/>
                <w:b/>
                <w:bCs/>
                <w:color w:val="27251E"/>
                <w:kern w:val="0"/>
                <w:sz w:val="22"/>
                <w:szCs w:val="22"/>
                <w:lang w:val="en-US" w:eastAsia="en-GB"/>
                <w14:ligatures w14:val="none"/>
              </w:rPr>
              <w:t>Whose Active Mobility? Exploring Youth Experiences in the 15-Minute City</w:t>
            </w:r>
            <w:r w:rsidRPr="008314A9">
              <w:rPr>
                <w:rFonts w:ascii="Arial" w:eastAsia="Times New Roman" w:hAnsi="Arial" w:cs="Arial"/>
                <w:color w:val="27251E"/>
                <w:kern w:val="0"/>
                <w:sz w:val="22"/>
                <w:szCs w:val="22"/>
                <w:lang w:eastAsia="en-GB"/>
                <w14:ligatures w14:val="none"/>
              </w:rPr>
              <w:t> </w:t>
            </w:r>
          </w:p>
        </w:tc>
        <w:tc>
          <w:tcPr>
            <w:tcW w:w="7692" w:type="dxa"/>
            <w:tcBorders>
              <w:top w:val="single" w:sz="2" w:space="0" w:color="auto"/>
              <w:left w:val="single" w:sz="2" w:space="0" w:color="auto"/>
              <w:bottom w:val="single" w:sz="6" w:space="0" w:color="auto"/>
              <w:right w:val="single" w:sz="2" w:space="0" w:color="auto"/>
            </w:tcBorders>
            <w:hideMark/>
          </w:tcPr>
          <w:p w14:paraId="3FE3E4CF" w14:textId="77777777" w:rsidR="0015603F" w:rsidRPr="008314A9" w:rsidRDefault="0015603F" w:rsidP="008314A9">
            <w:pPr>
              <w:spacing w:after="0" w:line="240" w:lineRule="auto"/>
              <w:textAlignment w:val="baseline"/>
              <w:rPr>
                <w:rFonts w:ascii="Segoe UI" w:eastAsia="Times New Roman" w:hAnsi="Segoe UI" w:cs="Segoe UI"/>
                <w:kern w:val="0"/>
                <w:sz w:val="18"/>
                <w:szCs w:val="18"/>
                <w:lang w:eastAsia="en-GB"/>
                <w14:ligatures w14:val="none"/>
              </w:rPr>
            </w:pPr>
            <w:r w:rsidRPr="008314A9">
              <w:rPr>
                <w:rFonts w:ascii="Arial" w:eastAsia="Times New Roman" w:hAnsi="Arial" w:cs="Arial"/>
                <w:color w:val="27251E"/>
                <w:kern w:val="0"/>
                <w:sz w:val="22"/>
                <w:szCs w:val="22"/>
                <w:lang w:val="en-US" w:eastAsia="en-GB"/>
                <w14:ligatures w14:val="none"/>
              </w:rPr>
              <w:t>10 min + 5 min Q&amp;A</w:t>
            </w:r>
            <w:r w:rsidRPr="008314A9">
              <w:rPr>
                <w:rFonts w:ascii="Arial" w:eastAsia="Times New Roman" w:hAnsi="Arial" w:cs="Arial"/>
                <w:color w:val="27251E"/>
                <w:kern w:val="0"/>
                <w:sz w:val="22"/>
                <w:szCs w:val="22"/>
                <w:lang w:eastAsia="en-GB"/>
                <w14:ligatures w14:val="none"/>
              </w:rPr>
              <w:t> </w:t>
            </w:r>
          </w:p>
          <w:p w14:paraId="24CDB61D" w14:textId="77777777" w:rsidR="0015603F" w:rsidRPr="008314A9" w:rsidRDefault="0015603F" w:rsidP="008314A9">
            <w:pPr>
              <w:spacing w:after="0" w:line="240" w:lineRule="auto"/>
              <w:textAlignment w:val="baseline"/>
              <w:rPr>
                <w:rFonts w:ascii="Segoe UI" w:eastAsia="Times New Roman" w:hAnsi="Segoe UI" w:cs="Segoe UI"/>
                <w:kern w:val="0"/>
                <w:sz w:val="18"/>
                <w:szCs w:val="18"/>
                <w:lang w:eastAsia="en-GB"/>
                <w14:ligatures w14:val="none"/>
              </w:rPr>
            </w:pPr>
            <w:r w:rsidRPr="008314A9">
              <w:rPr>
                <w:rFonts w:ascii="Arial" w:eastAsia="Times New Roman" w:hAnsi="Arial" w:cs="Arial"/>
                <w:color w:val="27251E"/>
                <w:kern w:val="0"/>
                <w:sz w:val="22"/>
                <w:szCs w:val="22"/>
                <w:lang w:eastAsia="en-GB"/>
                <w14:ligatures w14:val="none"/>
              </w:rPr>
              <w:t> </w:t>
            </w:r>
          </w:p>
          <w:p w14:paraId="567B2F9E" w14:textId="77777777" w:rsidR="0015603F" w:rsidRDefault="0015603F" w:rsidP="008314A9">
            <w:pPr>
              <w:spacing w:after="0" w:line="240" w:lineRule="auto"/>
              <w:textAlignment w:val="baseline"/>
              <w:rPr>
                <w:rFonts w:ascii="Arial" w:eastAsia="Times New Roman" w:hAnsi="Arial" w:cs="Arial"/>
                <w:color w:val="27251E"/>
                <w:kern w:val="0"/>
                <w:sz w:val="22"/>
                <w:szCs w:val="22"/>
                <w:lang w:eastAsia="en-GB"/>
                <w14:ligatures w14:val="none"/>
              </w:rPr>
            </w:pPr>
            <w:r w:rsidRPr="008314A9">
              <w:rPr>
                <w:rFonts w:ascii="Arial" w:eastAsia="Times New Roman" w:hAnsi="Arial" w:cs="Arial"/>
                <w:color w:val="27251E"/>
                <w:kern w:val="0"/>
                <w:sz w:val="22"/>
                <w:szCs w:val="22"/>
                <w:lang w:val="en-US" w:eastAsia="en-GB"/>
                <w14:ligatures w14:val="none"/>
              </w:rPr>
              <w:t>Abstract: The 15-minute city has emerged as a promising framework for creating healthier, more sustainable and inclusive neighbourhoods. Yet, discussions on active mobility often reflect adult perspectives and predefined assumptions about what active mobility means. Young people experience mobility systems differently and are rarely involved in shaping them. This presentation introduces the Youth4Mobility project (2026-2028), a European-Taiwanese research initiative that empowers young people as agents of change for inclusive active mobility. Through six Urban Living Labs in Utrecht (The Netherlands), Venice (Italy), Lisbon (Portugal), Brussels (Belgium), Kristiansand (Norway) and Changhua (Taiwan), the project explores youth mobility lifestyles, the systemic drivers shaping mobility choices, and how young people themselves experience and define active mobility. As the project is currently in its first year, the presentation focuses on the research approach and methods rather than on results. It introduces the use of Urban Living Labs, CityProbe, Group Model Building and co-creation processes that actively involve young people and local stakeholders in re-imagining active mobility systems. The presentation aims to contribute to ongoing debates on the 15-minute city and stimulate reflection on whose experiences and definitions are represented in visions of sustainable urban mobility.</w:t>
            </w:r>
            <w:r w:rsidRPr="008314A9">
              <w:rPr>
                <w:rFonts w:ascii="Arial" w:eastAsia="Times New Roman" w:hAnsi="Arial" w:cs="Arial"/>
                <w:color w:val="27251E"/>
                <w:kern w:val="0"/>
                <w:sz w:val="22"/>
                <w:szCs w:val="22"/>
                <w:lang w:eastAsia="en-GB"/>
                <w14:ligatures w14:val="none"/>
              </w:rPr>
              <w:t> </w:t>
            </w:r>
          </w:p>
          <w:p w14:paraId="02D03302" w14:textId="77777777" w:rsidR="0015603F" w:rsidRPr="008314A9" w:rsidRDefault="0015603F" w:rsidP="008314A9">
            <w:pPr>
              <w:spacing w:after="0" w:line="240" w:lineRule="auto"/>
              <w:textAlignment w:val="baseline"/>
              <w:rPr>
                <w:rFonts w:ascii="Segoe UI" w:eastAsia="Times New Roman" w:hAnsi="Segoe UI" w:cs="Segoe UI"/>
                <w:kern w:val="0"/>
                <w:sz w:val="18"/>
                <w:szCs w:val="18"/>
                <w:lang w:eastAsia="en-GB"/>
                <w14:ligatures w14:val="none"/>
              </w:rPr>
            </w:pPr>
          </w:p>
        </w:tc>
      </w:tr>
      <w:tr w:rsidR="0015603F" w:rsidRPr="008314A9" w14:paraId="7383736B" w14:textId="77777777" w:rsidTr="0015603F">
        <w:trPr>
          <w:trHeight w:val="285"/>
        </w:trPr>
        <w:tc>
          <w:tcPr>
            <w:tcW w:w="1661" w:type="dxa"/>
            <w:tcBorders>
              <w:top w:val="single" w:sz="2" w:space="0" w:color="auto"/>
              <w:left w:val="single" w:sz="2" w:space="0" w:color="auto"/>
              <w:bottom w:val="single" w:sz="6" w:space="0" w:color="auto"/>
              <w:right w:val="single" w:sz="6" w:space="0" w:color="auto"/>
            </w:tcBorders>
            <w:hideMark/>
          </w:tcPr>
          <w:p w14:paraId="5288631C" w14:textId="77777777" w:rsidR="0015603F" w:rsidRPr="008314A9" w:rsidRDefault="0015603F" w:rsidP="008314A9">
            <w:pPr>
              <w:spacing w:after="0" w:line="240" w:lineRule="auto"/>
              <w:textAlignment w:val="baseline"/>
              <w:rPr>
                <w:rFonts w:ascii="Segoe UI" w:eastAsia="Times New Roman" w:hAnsi="Segoe UI" w:cs="Segoe UI"/>
                <w:kern w:val="0"/>
                <w:sz w:val="18"/>
                <w:szCs w:val="18"/>
                <w:lang w:eastAsia="en-GB"/>
                <w14:ligatures w14:val="none"/>
              </w:rPr>
            </w:pPr>
            <w:r w:rsidRPr="008314A9">
              <w:rPr>
                <w:rFonts w:ascii="Arial" w:eastAsia="Times New Roman" w:hAnsi="Arial" w:cs="Arial"/>
                <w:color w:val="27251E"/>
                <w:kern w:val="0"/>
                <w:sz w:val="22"/>
                <w:szCs w:val="22"/>
                <w:lang w:val="en-US" w:eastAsia="en-GB"/>
                <w14:ligatures w14:val="none"/>
              </w:rPr>
              <w:t xml:space="preserve">Samira Ramazani, Mahdi Rahimi, Ward Rauws, Felix Pot - </w:t>
            </w:r>
            <w:r w:rsidRPr="008314A9">
              <w:rPr>
                <w:rFonts w:ascii="Arial" w:eastAsia="Times New Roman" w:hAnsi="Arial" w:cs="Arial"/>
                <w:b/>
                <w:bCs/>
                <w:color w:val="27251E"/>
                <w:kern w:val="0"/>
                <w:sz w:val="22"/>
                <w:szCs w:val="22"/>
                <w:lang w:val="en-US" w:eastAsia="en-GB"/>
                <w14:ligatures w14:val="none"/>
              </w:rPr>
              <w:t>Beyond Proximity: Rethinking the 15-Minute City concept for Equitable and Active Mobility Insights from the AccessCity4All Project</w:t>
            </w:r>
            <w:r w:rsidRPr="008314A9">
              <w:rPr>
                <w:rFonts w:ascii="Arial" w:eastAsia="Times New Roman" w:hAnsi="Arial" w:cs="Arial"/>
                <w:color w:val="27251E"/>
                <w:kern w:val="0"/>
                <w:sz w:val="22"/>
                <w:szCs w:val="22"/>
                <w:lang w:eastAsia="en-GB"/>
                <w14:ligatures w14:val="none"/>
              </w:rPr>
              <w:t> </w:t>
            </w:r>
          </w:p>
        </w:tc>
        <w:tc>
          <w:tcPr>
            <w:tcW w:w="7692" w:type="dxa"/>
            <w:tcBorders>
              <w:top w:val="single" w:sz="2" w:space="0" w:color="auto"/>
              <w:left w:val="single" w:sz="2" w:space="0" w:color="auto"/>
              <w:bottom w:val="single" w:sz="6" w:space="0" w:color="auto"/>
              <w:right w:val="single" w:sz="2" w:space="0" w:color="auto"/>
            </w:tcBorders>
            <w:hideMark/>
          </w:tcPr>
          <w:p w14:paraId="55E4E0B6" w14:textId="77777777" w:rsidR="0015603F" w:rsidRPr="008314A9" w:rsidRDefault="0015603F" w:rsidP="008314A9">
            <w:pPr>
              <w:spacing w:after="0" w:line="240" w:lineRule="auto"/>
              <w:textAlignment w:val="baseline"/>
              <w:rPr>
                <w:rFonts w:ascii="Segoe UI" w:eastAsia="Times New Roman" w:hAnsi="Segoe UI" w:cs="Segoe UI"/>
                <w:kern w:val="0"/>
                <w:sz w:val="18"/>
                <w:szCs w:val="18"/>
                <w:lang w:eastAsia="en-GB"/>
                <w14:ligatures w14:val="none"/>
              </w:rPr>
            </w:pPr>
            <w:r w:rsidRPr="008314A9">
              <w:rPr>
                <w:rFonts w:ascii="Arial" w:eastAsia="Times New Roman" w:hAnsi="Arial" w:cs="Arial"/>
                <w:color w:val="27251E"/>
                <w:kern w:val="0"/>
                <w:sz w:val="22"/>
                <w:szCs w:val="22"/>
                <w:lang w:val="en-US" w:eastAsia="en-GB"/>
                <w14:ligatures w14:val="none"/>
              </w:rPr>
              <w:t>10 min + 5 min Q&amp;A</w:t>
            </w:r>
            <w:r w:rsidRPr="008314A9">
              <w:rPr>
                <w:rFonts w:ascii="Arial" w:eastAsia="Times New Roman" w:hAnsi="Arial" w:cs="Arial"/>
                <w:color w:val="27251E"/>
                <w:kern w:val="0"/>
                <w:sz w:val="22"/>
                <w:szCs w:val="22"/>
                <w:lang w:eastAsia="en-GB"/>
                <w14:ligatures w14:val="none"/>
              </w:rPr>
              <w:t> </w:t>
            </w:r>
          </w:p>
          <w:p w14:paraId="488D85CD" w14:textId="77777777" w:rsidR="0015603F" w:rsidRPr="008314A9" w:rsidRDefault="0015603F" w:rsidP="008314A9">
            <w:pPr>
              <w:spacing w:after="0" w:line="240" w:lineRule="auto"/>
              <w:textAlignment w:val="baseline"/>
              <w:rPr>
                <w:rFonts w:ascii="Segoe UI" w:eastAsia="Times New Roman" w:hAnsi="Segoe UI" w:cs="Segoe UI"/>
                <w:kern w:val="0"/>
                <w:sz w:val="18"/>
                <w:szCs w:val="18"/>
                <w:lang w:eastAsia="en-GB"/>
                <w14:ligatures w14:val="none"/>
              </w:rPr>
            </w:pPr>
            <w:r w:rsidRPr="008314A9">
              <w:rPr>
                <w:rFonts w:ascii="Arial" w:eastAsia="Times New Roman" w:hAnsi="Arial" w:cs="Arial"/>
                <w:color w:val="27251E"/>
                <w:kern w:val="0"/>
                <w:sz w:val="22"/>
                <w:szCs w:val="22"/>
                <w:lang w:eastAsia="en-GB"/>
                <w14:ligatures w14:val="none"/>
              </w:rPr>
              <w:t> </w:t>
            </w:r>
          </w:p>
          <w:p w14:paraId="7852E196" w14:textId="77777777" w:rsidR="0015603F" w:rsidRPr="008314A9" w:rsidRDefault="0015603F" w:rsidP="008314A9">
            <w:pPr>
              <w:spacing w:after="0" w:line="240" w:lineRule="auto"/>
              <w:textAlignment w:val="baseline"/>
              <w:rPr>
                <w:rFonts w:ascii="Segoe UI" w:eastAsia="Times New Roman" w:hAnsi="Segoe UI" w:cs="Segoe UI"/>
                <w:kern w:val="0"/>
                <w:sz w:val="18"/>
                <w:szCs w:val="18"/>
                <w:lang w:eastAsia="en-GB"/>
                <w14:ligatures w14:val="none"/>
              </w:rPr>
            </w:pPr>
            <w:r w:rsidRPr="008314A9">
              <w:rPr>
                <w:rFonts w:ascii="Arial" w:eastAsia="Times New Roman" w:hAnsi="Arial" w:cs="Arial"/>
                <w:color w:val="27251E"/>
                <w:kern w:val="0"/>
                <w:sz w:val="22"/>
                <w:szCs w:val="22"/>
                <w:lang w:val="en-US" w:eastAsia="en-GB"/>
                <w14:ligatures w14:val="none"/>
              </w:rPr>
              <w:t>"Abstract: The concept of the 15-minute city, as an accessibility-based planning approach, has emerged as a prominent guiding vision for urban development, sparking both excitement and controversy within academia, planning practice, and the public debate. However, its reliance on proximity as a proxy for accessibility risks overlooking lived experiences, social inequalities, and the diverse needs of different population groups.</w:t>
            </w:r>
            <w:r w:rsidRPr="008314A9">
              <w:rPr>
                <w:rFonts w:ascii="Arial" w:eastAsia="Times New Roman" w:hAnsi="Arial" w:cs="Arial"/>
                <w:color w:val="27251E"/>
                <w:kern w:val="0"/>
                <w:sz w:val="22"/>
                <w:szCs w:val="22"/>
                <w:lang w:eastAsia="en-GB"/>
                <w14:ligatures w14:val="none"/>
              </w:rPr>
              <w:t> </w:t>
            </w:r>
          </w:p>
          <w:p w14:paraId="1EA528B6" w14:textId="77777777" w:rsidR="0015603F" w:rsidRPr="008314A9" w:rsidRDefault="0015603F" w:rsidP="008314A9">
            <w:pPr>
              <w:spacing w:after="0" w:line="240" w:lineRule="auto"/>
              <w:textAlignment w:val="baseline"/>
              <w:rPr>
                <w:rFonts w:ascii="Segoe UI" w:eastAsia="Times New Roman" w:hAnsi="Segoe UI" w:cs="Segoe UI"/>
                <w:kern w:val="0"/>
                <w:sz w:val="18"/>
                <w:szCs w:val="18"/>
                <w:lang w:eastAsia="en-GB"/>
                <w14:ligatures w14:val="none"/>
              </w:rPr>
            </w:pPr>
            <w:r w:rsidRPr="008314A9">
              <w:rPr>
                <w:rFonts w:ascii="Arial" w:eastAsia="Times New Roman" w:hAnsi="Arial" w:cs="Arial"/>
                <w:color w:val="27251E"/>
                <w:kern w:val="0"/>
                <w:sz w:val="22"/>
                <w:szCs w:val="22"/>
                <w:lang w:val="en-US" w:eastAsia="en-GB"/>
                <w14:ligatures w14:val="none"/>
              </w:rPr>
              <w:t>The AccessCity4All project addresses these limitations by examining residents’ perceived and actualised accessibility in neighbourhoods with different levels of urbanity and among individuals with varying needs and abilities. The project advances a more nuanced understanding of accessibility, going beyond proximity to services by incorporating perceptions of infrastructure, safety, personal needs, and social and psychological dynamics.</w:t>
            </w:r>
            <w:r w:rsidRPr="008314A9">
              <w:rPr>
                <w:rFonts w:ascii="Arial" w:eastAsia="Times New Roman" w:hAnsi="Arial" w:cs="Arial"/>
                <w:color w:val="27251E"/>
                <w:kern w:val="0"/>
                <w:sz w:val="22"/>
                <w:szCs w:val="22"/>
                <w:lang w:eastAsia="en-GB"/>
                <w14:ligatures w14:val="none"/>
              </w:rPr>
              <w:t> </w:t>
            </w:r>
          </w:p>
          <w:p w14:paraId="41179347" w14:textId="77777777" w:rsidR="0015603F" w:rsidRPr="008314A9" w:rsidRDefault="0015603F" w:rsidP="008314A9">
            <w:pPr>
              <w:spacing w:after="0" w:line="240" w:lineRule="auto"/>
              <w:textAlignment w:val="baseline"/>
              <w:rPr>
                <w:rFonts w:ascii="Segoe UI" w:eastAsia="Times New Roman" w:hAnsi="Segoe UI" w:cs="Segoe UI"/>
                <w:kern w:val="0"/>
                <w:sz w:val="18"/>
                <w:szCs w:val="18"/>
                <w:lang w:eastAsia="en-GB"/>
                <w14:ligatures w14:val="none"/>
              </w:rPr>
            </w:pPr>
            <w:r w:rsidRPr="008314A9">
              <w:rPr>
                <w:rFonts w:ascii="Arial" w:eastAsia="Times New Roman" w:hAnsi="Arial" w:cs="Arial"/>
                <w:color w:val="27251E"/>
                <w:kern w:val="0"/>
                <w:sz w:val="22"/>
                <w:szCs w:val="22"/>
                <w:lang w:val="en-US" w:eastAsia="en-GB"/>
                <w14:ligatures w14:val="none"/>
              </w:rPr>
              <w:t xml:space="preserve">To do so, the project develops a mixed-method research design across five European Cities, integrating city- and province-wide accessibility modelling with stakeholder workshops, walk-along interviews, and large-scale Public Participation GIS (PPGIS) surveys. These methods are used to co-create the </w:t>
            </w:r>
            <w:r w:rsidRPr="008314A9">
              <w:rPr>
                <w:rFonts w:ascii="Arial" w:eastAsia="Times New Roman" w:hAnsi="Arial" w:cs="Arial"/>
                <w:color w:val="27251E"/>
                <w:kern w:val="0"/>
                <w:sz w:val="22"/>
                <w:szCs w:val="22"/>
                <w:lang w:val="en-US" w:eastAsia="en-GB"/>
                <w14:ligatures w14:val="none"/>
              </w:rPr>
              <w:lastRenderedPageBreak/>
              <w:t>research design and generate empirical insights on perceived and actualised accessibility in up to 50 neighbourhoods across participating cities and regions in Europe.</w:t>
            </w:r>
            <w:r w:rsidRPr="008314A9">
              <w:rPr>
                <w:rFonts w:ascii="Arial" w:eastAsia="Times New Roman" w:hAnsi="Arial" w:cs="Arial"/>
                <w:color w:val="27251E"/>
                <w:kern w:val="0"/>
                <w:sz w:val="22"/>
                <w:szCs w:val="22"/>
                <w:lang w:eastAsia="en-GB"/>
                <w14:ligatures w14:val="none"/>
              </w:rPr>
              <w:t> </w:t>
            </w:r>
          </w:p>
          <w:p w14:paraId="4079D75F" w14:textId="77777777" w:rsidR="0015603F" w:rsidRPr="008314A9" w:rsidRDefault="0015603F" w:rsidP="008314A9">
            <w:pPr>
              <w:spacing w:after="0" w:line="240" w:lineRule="auto"/>
              <w:textAlignment w:val="baseline"/>
              <w:rPr>
                <w:rFonts w:ascii="Segoe UI" w:eastAsia="Times New Roman" w:hAnsi="Segoe UI" w:cs="Segoe UI"/>
                <w:kern w:val="0"/>
                <w:sz w:val="18"/>
                <w:szCs w:val="18"/>
                <w:lang w:eastAsia="en-GB"/>
                <w14:ligatures w14:val="none"/>
              </w:rPr>
            </w:pPr>
            <w:r w:rsidRPr="008314A9">
              <w:rPr>
                <w:rFonts w:ascii="Arial" w:eastAsia="Times New Roman" w:hAnsi="Arial" w:cs="Arial"/>
                <w:color w:val="27251E"/>
                <w:kern w:val="0"/>
                <w:sz w:val="22"/>
                <w:szCs w:val="22"/>
                <w:lang w:val="en-US" w:eastAsia="en-GB"/>
                <w14:ligatures w14:val="none"/>
              </w:rPr>
              <w:t>Walk-along interviews (WAIs) conducted in Lisbon, Groningen, Dortmund, Vienna, and Ankara gathered in-depth insights from vulnerable groups, including older adults and young families. Findings from the WAIs in Groningen demonstrate that accessibility is shaped not only by proximity, but also by physical barriers, lifestyles, personal choices, and social environments. Building on these insights, the second stage of the project develops large-scale participatory mapping (PPGIS) surveys to refine these findings and translate them into policy-relevant evidence.</w:t>
            </w:r>
            <w:r w:rsidRPr="008314A9">
              <w:rPr>
                <w:rFonts w:ascii="Arial" w:eastAsia="Times New Roman" w:hAnsi="Arial" w:cs="Arial"/>
                <w:color w:val="27251E"/>
                <w:kern w:val="0"/>
                <w:sz w:val="22"/>
                <w:szCs w:val="22"/>
                <w:lang w:eastAsia="en-GB"/>
                <w14:ligatures w14:val="none"/>
              </w:rPr>
              <w:t> </w:t>
            </w:r>
          </w:p>
          <w:p w14:paraId="47DCD042" w14:textId="77777777" w:rsidR="0015603F" w:rsidRDefault="0015603F" w:rsidP="008314A9">
            <w:pPr>
              <w:spacing w:after="0" w:line="240" w:lineRule="auto"/>
              <w:textAlignment w:val="baseline"/>
              <w:rPr>
                <w:rFonts w:ascii="Arial" w:eastAsia="Times New Roman" w:hAnsi="Arial" w:cs="Arial"/>
                <w:color w:val="27251E"/>
                <w:kern w:val="0"/>
                <w:sz w:val="22"/>
                <w:szCs w:val="22"/>
                <w:lang w:eastAsia="en-GB"/>
                <w14:ligatures w14:val="none"/>
              </w:rPr>
            </w:pPr>
            <w:r w:rsidRPr="008314A9">
              <w:rPr>
                <w:rFonts w:ascii="Arial" w:eastAsia="Times New Roman" w:hAnsi="Arial" w:cs="Arial"/>
                <w:color w:val="27251E"/>
                <w:kern w:val="0"/>
                <w:sz w:val="22"/>
                <w:szCs w:val="22"/>
                <w:lang w:val="en-US" w:eastAsia="en-GB"/>
                <w14:ligatures w14:val="none"/>
              </w:rPr>
              <w:t>The seminar presents this integrated research approach, highlights the complementary insights generated at different stages of the project, and discusses how findings of this project can be used in planning practice. By identifying hidden obstacles and inequalities, AccessCity4All contributes to the development of more inclusive and context-sensitive planning strategies, providing policymakers and practitioners with empirically grounded insights and participatory tools to support equitable and livable urban and rural environments."</w:t>
            </w:r>
            <w:r w:rsidRPr="008314A9">
              <w:rPr>
                <w:rFonts w:ascii="Arial" w:eastAsia="Times New Roman" w:hAnsi="Arial" w:cs="Arial"/>
                <w:color w:val="27251E"/>
                <w:kern w:val="0"/>
                <w:sz w:val="22"/>
                <w:szCs w:val="22"/>
                <w:lang w:eastAsia="en-GB"/>
                <w14:ligatures w14:val="none"/>
              </w:rPr>
              <w:t> </w:t>
            </w:r>
          </w:p>
          <w:p w14:paraId="0B68F96E" w14:textId="77777777" w:rsidR="00931F2D" w:rsidRDefault="00931F2D" w:rsidP="008314A9">
            <w:pPr>
              <w:spacing w:after="0" w:line="240" w:lineRule="auto"/>
              <w:textAlignment w:val="baseline"/>
              <w:rPr>
                <w:rFonts w:ascii="Arial" w:eastAsia="Times New Roman" w:hAnsi="Arial" w:cs="Arial"/>
                <w:color w:val="27251E"/>
                <w:kern w:val="0"/>
                <w:sz w:val="22"/>
                <w:szCs w:val="22"/>
                <w:lang w:eastAsia="en-GB"/>
                <w14:ligatures w14:val="none"/>
              </w:rPr>
            </w:pPr>
          </w:p>
          <w:p w14:paraId="1D48236B" w14:textId="77777777" w:rsidR="001372EB" w:rsidRPr="008314A9" w:rsidRDefault="001372EB" w:rsidP="008314A9">
            <w:pPr>
              <w:spacing w:after="0" w:line="240" w:lineRule="auto"/>
              <w:textAlignment w:val="baseline"/>
              <w:rPr>
                <w:rFonts w:ascii="Segoe UI" w:eastAsia="Times New Roman" w:hAnsi="Segoe UI" w:cs="Segoe UI"/>
                <w:kern w:val="0"/>
                <w:sz w:val="18"/>
                <w:szCs w:val="18"/>
                <w:lang w:eastAsia="en-GB"/>
                <w14:ligatures w14:val="none"/>
              </w:rPr>
            </w:pPr>
          </w:p>
        </w:tc>
      </w:tr>
      <w:tr w:rsidR="00931F2D" w:rsidRPr="008314A9" w14:paraId="03BC52C8" w14:textId="77777777" w:rsidTr="0015603F">
        <w:trPr>
          <w:trHeight w:val="285"/>
        </w:trPr>
        <w:tc>
          <w:tcPr>
            <w:tcW w:w="1661" w:type="dxa"/>
            <w:tcBorders>
              <w:top w:val="single" w:sz="2" w:space="0" w:color="auto"/>
              <w:left w:val="single" w:sz="2" w:space="0" w:color="auto"/>
              <w:bottom w:val="single" w:sz="6" w:space="0" w:color="auto"/>
              <w:right w:val="single" w:sz="6" w:space="0" w:color="auto"/>
            </w:tcBorders>
          </w:tcPr>
          <w:p w14:paraId="30AFECB6" w14:textId="77777777" w:rsidR="00931F2D" w:rsidRDefault="00931F2D" w:rsidP="00931F2D">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color w:val="27251E"/>
                <w:sz w:val="22"/>
                <w:szCs w:val="22"/>
                <w:lang w:val="en-US"/>
              </w:rPr>
              <w:lastRenderedPageBreak/>
              <w:t>Luana Silveri, Lucy Avraamidou</w:t>
            </w:r>
            <w:r w:rsidRPr="00BF7020">
              <w:rPr>
                <w:rStyle w:val="normaltextrun"/>
                <w:rFonts w:ascii="Arial" w:hAnsi="Arial" w:cs="Arial"/>
                <w:color w:val="27251E"/>
                <w:sz w:val="22"/>
                <w:szCs w:val="22"/>
                <w:lang w:val="en-US"/>
              </w:rPr>
              <w:t> –</w:t>
            </w:r>
            <w:r w:rsidRPr="00BF7020">
              <w:rPr>
                <w:rStyle w:val="normaltextrun"/>
                <w:rFonts w:ascii="Arial" w:hAnsi="Arial" w:cs="Arial"/>
                <w:color w:val="498205"/>
                <w:sz w:val="22"/>
                <w:szCs w:val="22"/>
                <w:lang w:val="en-US"/>
              </w:rPr>
              <w:t> </w:t>
            </w:r>
            <w:r w:rsidRPr="00BF7020">
              <w:rPr>
                <w:rStyle w:val="eop"/>
                <w:rFonts w:ascii="Arial" w:hAnsi="Arial" w:cs="Arial"/>
                <w:color w:val="498205"/>
                <w:sz w:val="22"/>
                <w:szCs w:val="22"/>
              </w:rPr>
              <w:t> </w:t>
            </w:r>
          </w:p>
          <w:p w14:paraId="6818C1A7" w14:textId="77777777" w:rsidR="00931F2D" w:rsidRDefault="00931F2D" w:rsidP="00931F2D">
            <w:pPr>
              <w:pStyle w:val="paragraph"/>
              <w:spacing w:before="0" w:beforeAutospacing="0" w:after="0" w:afterAutospacing="0"/>
              <w:textAlignment w:val="baseline"/>
              <w:rPr>
                <w:rFonts w:ascii="Segoe UI" w:hAnsi="Segoe UI" w:cs="Segoe UI"/>
                <w:sz w:val="18"/>
                <w:szCs w:val="18"/>
                <w:lang w:val="en-US"/>
              </w:rPr>
            </w:pPr>
            <w:r>
              <w:rPr>
                <w:rStyle w:val="normaltextrun"/>
                <w:rFonts w:ascii="Arial" w:hAnsi="Arial" w:cs="Arial"/>
                <w:b/>
                <w:bCs/>
                <w:color w:val="27251E"/>
                <w:sz w:val="22"/>
                <w:szCs w:val="22"/>
                <w:lang w:val="en-US"/>
              </w:rPr>
              <w:t>Whose Fifteen Minutes? How the 15-Minute City Plans Children Out, and What YouthMove15 Proposes Instead</w:t>
            </w:r>
          </w:p>
          <w:p w14:paraId="44AC47E3" w14:textId="77777777" w:rsidR="00931F2D" w:rsidRPr="008314A9" w:rsidRDefault="00931F2D" w:rsidP="008314A9">
            <w:pPr>
              <w:spacing w:after="0" w:line="240" w:lineRule="auto"/>
              <w:textAlignment w:val="baseline"/>
              <w:rPr>
                <w:rFonts w:ascii="Arial" w:eastAsia="Times New Roman" w:hAnsi="Arial" w:cs="Arial"/>
                <w:color w:val="27251E"/>
                <w:kern w:val="0"/>
                <w:sz w:val="22"/>
                <w:szCs w:val="22"/>
                <w:lang w:val="en-US" w:eastAsia="en-GB"/>
                <w14:ligatures w14:val="none"/>
              </w:rPr>
            </w:pPr>
          </w:p>
        </w:tc>
        <w:tc>
          <w:tcPr>
            <w:tcW w:w="7692" w:type="dxa"/>
            <w:tcBorders>
              <w:top w:val="single" w:sz="2" w:space="0" w:color="auto"/>
              <w:left w:val="single" w:sz="2" w:space="0" w:color="auto"/>
              <w:bottom w:val="single" w:sz="6" w:space="0" w:color="auto"/>
              <w:right w:val="single" w:sz="2" w:space="0" w:color="auto"/>
            </w:tcBorders>
          </w:tcPr>
          <w:p w14:paraId="4BA79D64" w14:textId="77777777" w:rsidR="00931F2D" w:rsidRDefault="00931F2D" w:rsidP="00931F2D">
            <w:pPr>
              <w:pStyle w:val="paragraph"/>
              <w:spacing w:before="0" w:beforeAutospacing="0" w:after="0" w:afterAutospacing="0"/>
              <w:textAlignment w:val="baseline"/>
              <w:rPr>
                <w:rFonts w:ascii="Atlas Grotesk Regular" w:hAnsi="Atlas Grotesk Regular" w:cs="Arial"/>
                <w:sz w:val="18"/>
                <w:szCs w:val="18"/>
                <w:lang w:val="en-US"/>
              </w:rPr>
            </w:pPr>
          </w:p>
          <w:p w14:paraId="784DD99F" w14:textId="5BA20296" w:rsidR="00931F2D" w:rsidRPr="00931F2D" w:rsidRDefault="00931F2D" w:rsidP="00931F2D">
            <w:pPr>
              <w:spacing w:after="0" w:line="240" w:lineRule="auto"/>
              <w:textAlignment w:val="baseline"/>
              <w:rPr>
                <w:rFonts w:ascii="Arial" w:eastAsia="Times New Roman" w:hAnsi="Arial" w:cs="Arial"/>
                <w:color w:val="27251E"/>
                <w:kern w:val="0"/>
                <w:sz w:val="22"/>
                <w:szCs w:val="22"/>
                <w:lang w:val="en-US" w:eastAsia="en-GB"/>
                <w14:ligatures w14:val="none"/>
              </w:rPr>
            </w:pPr>
            <w:r>
              <w:rPr>
                <w:rFonts w:ascii="Arial" w:eastAsia="Times New Roman" w:hAnsi="Arial" w:cs="Arial"/>
                <w:color w:val="27251E"/>
                <w:kern w:val="0"/>
                <w:sz w:val="22"/>
                <w:szCs w:val="22"/>
                <w:lang w:val="en-US" w:eastAsia="en-GB"/>
                <w14:ligatures w14:val="none"/>
              </w:rPr>
              <w:t>“</w:t>
            </w:r>
            <w:r w:rsidRPr="00931F2D">
              <w:rPr>
                <w:rFonts w:ascii="Arial" w:eastAsia="Times New Roman" w:hAnsi="Arial" w:cs="Arial"/>
                <w:color w:val="27251E"/>
                <w:kern w:val="0"/>
                <w:sz w:val="22"/>
                <w:szCs w:val="22"/>
                <w:lang w:val="en-US" w:eastAsia="en-GB"/>
                <w14:ligatures w14:val="none"/>
              </w:rPr>
              <w:t>The 15-minute city is presented as the most promising way to plan a more sustainable and just city for the present and future generations, but this is how we are actually planning and designing the new cities? Within the YouthMove15 project we reviewed 74 studies on proximity, mobility and participation among children aged 8–16. The review shows that the ongoing concept of 15-min city rebuilds the adult city at smaller scale: adult walking speeds, adult services, adult planners. We are again missing the kids and young people.  Three are the major problems recurring. Standard proximity metrics overstate what children can actually reach. Children judge nearness by route familiarity, peer geography and permission, none of which existing indicators capture. And participation stays extractive: children's knowledge is gathered but seldom used, because municipalities rarely decide in advance what they will do with it. </w:t>
            </w:r>
          </w:p>
          <w:p w14:paraId="5DA28FDD" w14:textId="77777777" w:rsidR="00931F2D" w:rsidRPr="00931F2D" w:rsidRDefault="00931F2D" w:rsidP="00931F2D">
            <w:pPr>
              <w:spacing w:after="0" w:line="240" w:lineRule="auto"/>
              <w:textAlignment w:val="baseline"/>
              <w:rPr>
                <w:rFonts w:ascii="Arial" w:eastAsia="Times New Roman" w:hAnsi="Arial" w:cs="Arial"/>
                <w:color w:val="27251E"/>
                <w:kern w:val="0"/>
                <w:sz w:val="22"/>
                <w:szCs w:val="22"/>
                <w:lang w:val="en-US" w:eastAsia="en-GB"/>
                <w14:ligatures w14:val="none"/>
              </w:rPr>
            </w:pPr>
          </w:p>
          <w:p w14:paraId="4075E8BA" w14:textId="4172E461" w:rsidR="00931F2D" w:rsidRPr="00931F2D" w:rsidRDefault="00931F2D" w:rsidP="00931F2D">
            <w:pPr>
              <w:spacing w:after="0" w:line="240" w:lineRule="auto"/>
              <w:textAlignment w:val="baseline"/>
              <w:rPr>
                <w:rFonts w:ascii="Arial" w:eastAsia="Times New Roman" w:hAnsi="Arial" w:cs="Arial"/>
                <w:color w:val="27251E"/>
                <w:kern w:val="0"/>
                <w:sz w:val="22"/>
                <w:szCs w:val="22"/>
                <w:lang w:val="en-US" w:eastAsia="en-GB"/>
                <w14:ligatures w14:val="none"/>
              </w:rPr>
            </w:pPr>
            <w:r w:rsidRPr="00931F2D">
              <w:rPr>
                <w:rFonts w:ascii="Arial" w:eastAsia="Times New Roman" w:hAnsi="Arial" w:cs="Arial"/>
                <w:color w:val="27251E"/>
                <w:kern w:val="0"/>
                <w:sz w:val="22"/>
                <w:szCs w:val="22"/>
                <w:lang w:val="en-US" w:eastAsia="en-GB"/>
                <w14:ligatures w14:val="none"/>
              </w:rPr>
              <w:t>After the literature review in YouthMove15 project we are now including these as design requirements, not caveats. In this presentation we share both the problems the review identifies and how its results are shaping the next steps of the project, so that the Living Labs become a real opportunity to make young people's voices count. </w:t>
            </w:r>
            <w:r>
              <w:rPr>
                <w:rFonts w:ascii="Arial" w:eastAsia="Times New Roman" w:hAnsi="Arial" w:cs="Arial"/>
                <w:color w:val="27251E"/>
                <w:kern w:val="0"/>
                <w:sz w:val="22"/>
                <w:szCs w:val="22"/>
                <w:lang w:val="en-US" w:eastAsia="en-GB"/>
                <w14:ligatures w14:val="none"/>
              </w:rPr>
              <w:t>“</w:t>
            </w:r>
          </w:p>
          <w:p w14:paraId="204EA27D" w14:textId="77777777" w:rsidR="00931F2D" w:rsidRPr="008314A9" w:rsidRDefault="00931F2D" w:rsidP="008314A9">
            <w:pPr>
              <w:spacing w:after="0" w:line="240" w:lineRule="auto"/>
              <w:textAlignment w:val="baseline"/>
              <w:rPr>
                <w:rFonts w:ascii="Arial" w:eastAsia="Times New Roman" w:hAnsi="Arial" w:cs="Arial"/>
                <w:color w:val="27251E"/>
                <w:kern w:val="0"/>
                <w:sz w:val="22"/>
                <w:szCs w:val="22"/>
                <w:lang w:val="en-US" w:eastAsia="en-GB"/>
                <w14:ligatures w14:val="none"/>
              </w:rPr>
            </w:pPr>
          </w:p>
        </w:tc>
      </w:tr>
      <w:tr w:rsidR="0015603F" w:rsidRPr="008314A9" w14:paraId="716C0D59" w14:textId="77777777" w:rsidTr="0015603F">
        <w:trPr>
          <w:trHeight w:val="285"/>
        </w:trPr>
        <w:tc>
          <w:tcPr>
            <w:tcW w:w="1661" w:type="dxa"/>
            <w:tcBorders>
              <w:top w:val="single" w:sz="2" w:space="0" w:color="auto"/>
              <w:left w:val="single" w:sz="2" w:space="0" w:color="auto"/>
              <w:bottom w:val="single" w:sz="6" w:space="0" w:color="auto"/>
              <w:right w:val="single" w:sz="6" w:space="0" w:color="auto"/>
            </w:tcBorders>
            <w:hideMark/>
          </w:tcPr>
          <w:p w14:paraId="14EFCEE1" w14:textId="77777777" w:rsidR="0015603F" w:rsidRPr="001372EB" w:rsidRDefault="0015603F" w:rsidP="008314A9">
            <w:pPr>
              <w:spacing w:after="0" w:line="240" w:lineRule="auto"/>
              <w:textAlignment w:val="baseline"/>
              <w:rPr>
                <w:rFonts w:ascii="Segoe UI" w:eastAsia="Times New Roman" w:hAnsi="Segoe UI" w:cs="Segoe UI"/>
                <w:kern w:val="0"/>
                <w:sz w:val="18"/>
                <w:szCs w:val="18"/>
                <w:lang w:eastAsia="en-GB"/>
                <w14:ligatures w14:val="none"/>
              </w:rPr>
            </w:pPr>
            <w:r w:rsidRPr="001372EB">
              <w:rPr>
                <w:rFonts w:ascii="Arial" w:eastAsia="Times New Roman" w:hAnsi="Arial" w:cs="Arial"/>
                <w:kern w:val="0"/>
                <w:sz w:val="22"/>
                <w:szCs w:val="22"/>
                <w:lang w:val="en-US" w:eastAsia="en-GB"/>
                <w14:ligatures w14:val="none"/>
              </w:rPr>
              <w:t>Jiakun Liu, Eric Koomen, Erik Verhoef – </w:t>
            </w:r>
            <w:r w:rsidRPr="001372EB">
              <w:rPr>
                <w:rFonts w:ascii="Arial" w:eastAsia="Times New Roman" w:hAnsi="Arial" w:cs="Arial"/>
                <w:kern w:val="0"/>
                <w:sz w:val="22"/>
                <w:szCs w:val="22"/>
                <w:lang w:eastAsia="en-GB"/>
                <w14:ligatures w14:val="none"/>
              </w:rPr>
              <w:t> </w:t>
            </w:r>
          </w:p>
          <w:p w14:paraId="4EE03CB8" w14:textId="77777777" w:rsidR="0015603F" w:rsidRPr="001372EB" w:rsidRDefault="0015603F" w:rsidP="008314A9">
            <w:pPr>
              <w:spacing w:after="0" w:line="240" w:lineRule="auto"/>
              <w:textAlignment w:val="baseline"/>
              <w:rPr>
                <w:rFonts w:ascii="Segoe UI" w:eastAsia="Times New Roman" w:hAnsi="Segoe UI" w:cs="Segoe UI"/>
                <w:kern w:val="0"/>
                <w:sz w:val="18"/>
                <w:szCs w:val="18"/>
                <w:lang w:eastAsia="en-GB"/>
                <w14:ligatures w14:val="none"/>
              </w:rPr>
            </w:pPr>
            <w:r w:rsidRPr="001372EB">
              <w:rPr>
                <w:rFonts w:ascii="Arial" w:eastAsia="Times New Roman" w:hAnsi="Arial" w:cs="Arial"/>
                <w:b/>
                <w:bCs/>
                <w:kern w:val="0"/>
                <w:sz w:val="22"/>
                <w:szCs w:val="22"/>
                <w:lang w:val="en-US" w:eastAsia="en-GB"/>
                <w14:ligatures w14:val="none"/>
              </w:rPr>
              <w:t>The 15-minute city beyond home: walking and cycling across home and non-home activity origins</w:t>
            </w:r>
            <w:r w:rsidRPr="001372EB">
              <w:rPr>
                <w:rFonts w:ascii="Arial" w:eastAsia="Times New Roman" w:hAnsi="Arial" w:cs="Arial"/>
                <w:kern w:val="0"/>
                <w:sz w:val="22"/>
                <w:szCs w:val="22"/>
                <w:lang w:eastAsia="en-GB"/>
                <w14:ligatures w14:val="none"/>
              </w:rPr>
              <w:t> </w:t>
            </w:r>
          </w:p>
        </w:tc>
        <w:tc>
          <w:tcPr>
            <w:tcW w:w="7692" w:type="dxa"/>
            <w:tcBorders>
              <w:top w:val="single" w:sz="2" w:space="0" w:color="auto"/>
              <w:left w:val="single" w:sz="2" w:space="0" w:color="auto"/>
              <w:bottom w:val="single" w:sz="6" w:space="0" w:color="auto"/>
              <w:right w:val="single" w:sz="2" w:space="0" w:color="auto"/>
            </w:tcBorders>
            <w:hideMark/>
          </w:tcPr>
          <w:p w14:paraId="21F3AD83" w14:textId="77777777" w:rsidR="0015603F" w:rsidRDefault="0015603F" w:rsidP="008314A9">
            <w:pPr>
              <w:spacing w:after="0" w:line="240" w:lineRule="auto"/>
              <w:textAlignment w:val="baseline"/>
              <w:rPr>
                <w:rFonts w:ascii="Arial" w:eastAsia="Times New Roman" w:hAnsi="Arial" w:cs="Arial"/>
                <w:kern w:val="0"/>
                <w:sz w:val="22"/>
                <w:szCs w:val="22"/>
                <w:lang w:eastAsia="en-GB"/>
                <w14:ligatures w14:val="none"/>
              </w:rPr>
            </w:pPr>
            <w:r w:rsidRPr="001372EB">
              <w:rPr>
                <w:rFonts w:ascii="Arial" w:eastAsia="Times New Roman" w:hAnsi="Arial" w:cs="Arial"/>
                <w:kern w:val="0"/>
                <w:sz w:val="22"/>
                <w:szCs w:val="22"/>
                <w:lang w:val="en-US" w:eastAsia="en-GB"/>
                <w14:ligatures w14:val="none"/>
              </w:rPr>
              <w:t>The 15-minute city has emerged as a prominent planning paradigm for promoting sustainable mobility through improved local accessibility. However, most existing studies evaluate accessibility from residential locations and focus primarily on active travel participation, overlooking how the 15-minute built environment influences both travel mode choice and travel duration across different activity contexts. This study investigates the relationships between the built environment and observed walking and cycling behaviour by distinguishing between home-based and non-home-based journeys. Using large-scale GPS-based travel data from the Netherlands, we estimated zero-inflated Gamma mixed-effects models to separately examine active travel participation and travel duration.</w:t>
            </w:r>
            <w:r w:rsidRPr="001372EB">
              <w:rPr>
                <w:rFonts w:ascii="Arial" w:eastAsia="Times New Roman" w:hAnsi="Arial" w:cs="Arial"/>
                <w:kern w:val="0"/>
                <w:sz w:val="22"/>
                <w:szCs w:val="22"/>
                <w:lang w:eastAsia="en-GB"/>
                <w14:ligatures w14:val="none"/>
              </w:rPr>
              <w:t> </w:t>
            </w:r>
          </w:p>
          <w:p w14:paraId="79CE91BF" w14:textId="77777777" w:rsidR="001372EB" w:rsidRPr="001372EB" w:rsidRDefault="001372EB" w:rsidP="008314A9">
            <w:pPr>
              <w:spacing w:after="0" w:line="240" w:lineRule="auto"/>
              <w:textAlignment w:val="baseline"/>
              <w:rPr>
                <w:rFonts w:ascii="Segoe UI" w:eastAsia="Times New Roman" w:hAnsi="Segoe UI" w:cs="Segoe UI"/>
                <w:kern w:val="0"/>
                <w:sz w:val="18"/>
                <w:szCs w:val="18"/>
                <w:lang w:eastAsia="en-GB"/>
                <w14:ligatures w14:val="none"/>
              </w:rPr>
            </w:pPr>
          </w:p>
          <w:p w14:paraId="1C543377" w14:textId="77777777" w:rsidR="0015603F" w:rsidRDefault="0015603F" w:rsidP="008314A9">
            <w:pPr>
              <w:spacing w:after="0" w:line="240" w:lineRule="auto"/>
              <w:textAlignment w:val="baseline"/>
              <w:rPr>
                <w:rFonts w:ascii="Arial" w:eastAsia="Times New Roman" w:hAnsi="Arial" w:cs="Arial"/>
                <w:kern w:val="0"/>
                <w:sz w:val="22"/>
                <w:szCs w:val="22"/>
                <w:lang w:eastAsia="en-GB"/>
                <w14:ligatures w14:val="none"/>
              </w:rPr>
            </w:pPr>
            <w:r w:rsidRPr="001372EB">
              <w:rPr>
                <w:rFonts w:ascii="Arial" w:eastAsia="Times New Roman" w:hAnsi="Arial" w:cs="Arial"/>
                <w:kern w:val="0"/>
                <w:sz w:val="22"/>
                <w:szCs w:val="22"/>
                <w:lang w:val="en-US" w:eastAsia="en-GB"/>
                <w14:ligatures w14:val="none"/>
              </w:rPr>
              <w:t xml:space="preserve">We show that the built environment influences active travel through distinct and context-dependent behavioural pathways. Potential accessibility </w:t>
            </w:r>
            <w:r w:rsidRPr="001372EB">
              <w:rPr>
                <w:rFonts w:ascii="Arial" w:eastAsia="Times New Roman" w:hAnsi="Arial" w:cs="Arial"/>
                <w:kern w:val="0"/>
                <w:sz w:val="22"/>
                <w:szCs w:val="22"/>
                <w:lang w:val="en-US" w:eastAsia="en-GB"/>
                <w14:ligatures w14:val="none"/>
              </w:rPr>
              <w:lastRenderedPageBreak/>
              <w:t>consistently increased the likelihood of choosing walking and cycling, whereas its influence on travel duration was comparatively modest. In contrast, urban-form characteristics and transport infrastructure primarily shaped travel duration after an active mode had been chosen, with substantially stronger effects observed for non-home-based journeys. Moreover, walking and cycling exhibited fundamentally different environmental responses. Walking duration became environmentally sensitive mainly in non-home activity spaces, whereas cycling remained associated with multiple environmental characteristics across both home- and non-home-based contexts. Several environmental characteristics also showed contrasting relationships with active travel participation and duration, demonstrating that the decision to adopt an active mode and the extent of active travel are governed by different behavioural mechanisms.</w:t>
            </w:r>
            <w:r w:rsidRPr="001372EB">
              <w:rPr>
                <w:rFonts w:ascii="Arial" w:eastAsia="Times New Roman" w:hAnsi="Arial" w:cs="Arial"/>
                <w:kern w:val="0"/>
                <w:sz w:val="22"/>
                <w:szCs w:val="22"/>
                <w:lang w:eastAsia="en-GB"/>
                <w14:ligatures w14:val="none"/>
              </w:rPr>
              <w:t> </w:t>
            </w:r>
          </w:p>
          <w:p w14:paraId="1786CC14" w14:textId="77777777" w:rsidR="001372EB" w:rsidRPr="001372EB" w:rsidRDefault="001372EB" w:rsidP="008314A9">
            <w:pPr>
              <w:spacing w:after="0" w:line="240" w:lineRule="auto"/>
              <w:textAlignment w:val="baseline"/>
              <w:rPr>
                <w:rFonts w:ascii="Segoe UI" w:eastAsia="Times New Roman" w:hAnsi="Segoe UI" w:cs="Segoe UI"/>
                <w:kern w:val="0"/>
                <w:sz w:val="18"/>
                <w:szCs w:val="18"/>
                <w:lang w:eastAsia="en-GB"/>
                <w14:ligatures w14:val="none"/>
              </w:rPr>
            </w:pPr>
          </w:p>
          <w:p w14:paraId="49212059" w14:textId="77777777" w:rsidR="0015603F" w:rsidRDefault="0015603F" w:rsidP="008314A9">
            <w:pPr>
              <w:spacing w:after="0" w:line="240" w:lineRule="auto"/>
              <w:textAlignment w:val="baseline"/>
              <w:rPr>
                <w:rFonts w:ascii="Arial" w:eastAsia="Times New Roman" w:hAnsi="Arial" w:cs="Arial"/>
                <w:kern w:val="0"/>
                <w:sz w:val="22"/>
                <w:szCs w:val="22"/>
                <w:lang w:eastAsia="en-GB"/>
                <w14:ligatures w14:val="none"/>
              </w:rPr>
            </w:pPr>
            <w:r w:rsidRPr="001372EB">
              <w:rPr>
                <w:rFonts w:ascii="Arial" w:eastAsia="Times New Roman" w:hAnsi="Arial" w:cs="Arial"/>
                <w:kern w:val="0"/>
                <w:sz w:val="22"/>
                <w:szCs w:val="22"/>
                <w:lang w:val="en-US" w:eastAsia="en-GB"/>
                <w14:ligatures w14:val="none"/>
              </w:rPr>
              <w:t>These findings challenge the common assumption that residential accessibility alone adequately represents the behavioural performance of 15-minute cities. Instead, they highlight the importance of activity-space contexts and reveal that the built environment influences active travel through multiple behavioural pathways rather than a single accessibility mechanism, providing a more behaviourally grounded framework for evaluating and designing 15-minute cities.</w:t>
            </w:r>
            <w:r w:rsidRPr="001372EB">
              <w:rPr>
                <w:rFonts w:ascii="Arial" w:eastAsia="Times New Roman" w:hAnsi="Arial" w:cs="Arial"/>
                <w:kern w:val="0"/>
                <w:sz w:val="22"/>
                <w:szCs w:val="22"/>
                <w:lang w:eastAsia="en-GB"/>
                <w14:ligatures w14:val="none"/>
              </w:rPr>
              <w:t> </w:t>
            </w:r>
          </w:p>
          <w:p w14:paraId="65470A89" w14:textId="77777777" w:rsidR="001372EB" w:rsidRPr="001372EB" w:rsidRDefault="001372EB" w:rsidP="008314A9">
            <w:pPr>
              <w:spacing w:after="0" w:line="240" w:lineRule="auto"/>
              <w:textAlignment w:val="baseline"/>
              <w:rPr>
                <w:rFonts w:ascii="Segoe UI" w:eastAsia="Times New Roman" w:hAnsi="Segoe UI" w:cs="Segoe UI"/>
                <w:kern w:val="0"/>
                <w:sz w:val="18"/>
                <w:szCs w:val="18"/>
                <w:lang w:eastAsia="en-GB"/>
                <w14:ligatures w14:val="none"/>
              </w:rPr>
            </w:pPr>
          </w:p>
        </w:tc>
      </w:tr>
    </w:tbl>
    <w:p w14:paraId="0A581B58" w14:textId="77777777" w:rsidR="008314A9" w:rsidRDefault="008314A9"/>
    <w:sectPr w:rsidR="008314A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tlas Grotesk Regular">
    <w:panose1 w:val="00000000000000000000"/>
    <w:charset w:val="4D"/>
    <w:family w:val="auto"/>
    <w:notTrueType/>
    <w:pitch w:val="variable"/>
    <w:sig w:usb0="00000007" w:usb1="00000000" w:usb2="00000000" w:usb3="00000000" w:csb0="00000093"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14A9"/>
    <w:rsid w:val="001372EB"/>
    <w:rsid w:val="0015603F"/>
    <w:rsid w:val="00326C8B"/>
    <w:rsid w:val="008314A9"/>
    <w:rsid w:val="008C7129"/>
    <w:rsid w:val="00931F2D"/>
    <w:rsid w:val="00BF2C6A"/>
  </w:rsids>
  <m:mathPr>
    <m:mathFont m:val="Cambria Math"/>
    <m:brkBin m:val="before"/>
    <m:brkBinSub m:val="--"/>
    <m:smallFrac m:val="0"/>
    <m:dispDef/>
    <m:lMargin m:val="0"/>
    <m:rMargin m:val="0"/>
    <m:defJc m:val="centerGroup"/>
    <m:wrapIndent m:val="1440"/>
    <m:intLim m:val="subSup"/>
    <m:naryLim m:val="undOvr"/>
  </m:mathPr>
  <w:themeFontLang w:val="en-NL"/>
  <w:clrSchemeMapping w:bg1="light1" w:t1="dark1" w:bg2="light2" w:t2="dark2" w:accent1="accent1" w:accent2="accent2" w:accent3="accent3" w:accent4="accent4" w:accent5="accent5" w:accent6="accent6" w:hyperlink="hyperlink" w:followedHyperlink="followedHyperlink"/>
  <w:decimalSymbol w:val=","/>
  <w:listSeparator w:val=","/>
  <w14:docId w14:val="789ED80E"/>
  <w15:chartTrackingRefBased/>
  <w15:docId w15:val="{A7D244D2-C232-7841-A525-6BD6DAA9FB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314A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314A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314A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314A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314A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314A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314A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314A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314A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314A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314A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314A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314A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314A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314A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314A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314A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314A9"/>
    <w:rPr>
      <w:rFonts w:eastAsiaTheme="majorEastAsia" w:cstheme="majorBidi"/>
      <w:color w:val="272727" w:themeColor="text1" w:themeTint="D8"/>
    </w:rPr>
  </w:style>
  <w:style w:type="paragraph" w:styleId="Title">
    <w:name w:val="Title"/>
    <w:basedOn w:val="Normal"/>
    <w:next w:val="Normal"/>
    <w:link w:val="TitleChar"/>
    <w:uiPriority w:val="10"/>
    <w:qFormat/>
    <w:rsid w:val="008314A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314A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314A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314A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314A9"/>
    <w:pPr>
      <w:spacing w:before="160"/>
      <w:jc w:val="center"/>
    </w:pPr>
    <w:rPr>
      <w:i/>
      <w:iCs/>
      <w:color w:val="404040" w:themeColor="text1" w:themeTint="BF"/>
    </w:rPr>
  </w:style>
  <w:style w:type="character" w:customStyle="1" w:styleId="QuoteChar">
    <w:name w:val="Quote Char"/>
    <w:basedOn w:val="DefaultParagraphFont"/>
    <w:link w:val="Quote"/>
    <w:uiPriority w:val="29"/>
    <w:rsid w:val="008314A9"/>
    <w:rPr>
      <w:i/>
      <w:iCs/>
      <w:color w:val="404040" w:themeColor="text1" w:themeTint="BF"/>
    </w:rPr>
  </w:style>
  <w:style w:type="paragraph" w:styleId="ListParagraph">
    <w:name w:val="List Paragraph"/>
    <w:basedOn w:val="Normal"/>
    <w:uiPriority w:val="34"/>
    <w:qFormat/>
    <w:rsid w:val="008314A9"/>
    <w:pPr>
      <w:ind w:left="720"/>
      <w:contextualSpacing/>
    </w:pPr>
  </w:style>
  <w:style w:type="character" w:styleId="IntenseEmphasis">
    <w:name w:val="Intense Emphasis"/>
    <w:basedOn w:val="DefaultParagraphFont"/>
    <w:uiPriority w:val="21"/>
    <w:qFormat/>
    <w:rsid w:val="008314A9"/>
    <w:rPr>
      <w:i/>
      <w:iCs/>
      <w:color w:val="0F4761" w:themeColor="accent1" w:themeShade="BF"/>
    </w:rPr>
  </w:style>
  <w:style w:type="paragraph" w:styleId="IntenseQuote">
    <w:name w:val="Intense Quote"/>
    <w:basedOn w:val="Normal"/>
    <w:next w:val="Normal"/>
    <w:link w:val="IntenseQuoteChar"/>
    <w:uiPriority w:val="30"/>
    <w:qFormat/>
    <w:rsid w:val="008314A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314A9"/>
    <w:rPr>
      <w:i/>
      <w:iCs/>
      <w:color w:val="0F4761" w:themeColor="accent1" w:themeShade="BF"/>
    </w:rPr>
  </w:style>
  <w:style w:type="character" w:styleId="IntenseReference">
    <w:name w:val="Intense Reference"/>
    <w:basedOn w:val="DefaultParagraphFont"/>
    <w:uiPriority w:val="32"/>
    <w:qFormat/>
    <w:rsid w:val="008314A9"/>
    <w:rPr>
      <w:b/>
      <w:bCs/>
      <w:smallCaps/>
      <w:color w:val="0F4761" w:themeColor="accent1" w:themeShade="BF"/>
      <w:spacing w:val="5"/>
    </w:rPr>
  </w:style>
  <w:style w:type="paragraph" w:customStyle="1" w:styleId="paragraph">
    <w:name w:val="paragraph"/>
    <w:basedOn w:val="Normal"/>
    <w:rsid w:val="008314A9"/>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customStyle="1" w:styleId="normaltextrun">
    <w:name w:val="normaltextrun"/>
    <w:basedOn w:val="DefaultParagraphFont"/>
    <w:rsid w:val="008314A9"/>
  </w:style>
  <w:style w:type="character" w:customStyle="1" w:styleId="eop">
    <w:name w:val="eop"/>
    <w:basedOn w:val="DefaultParagraphFont"/>
    <w:rsid w:val="008314A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4</TotalTime>
  <Pages>6</Pages>
  <Words>3117</Words>
  <Characters>17772</Characters>
  <Application>Microsoft Office Word</Application>
  <DocSecurity>0</DocSecurity>
  <Lines>148</Lines>
  <Paragraphs>41</Paragraphs>
  <ScaleCrop>false</ScaleCrop>
  <Company/>
  <LinksUpToDate>false</LinksUpToDate>
  <CharactersWithSpaces>20848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Vera Kuipers</dc:creator>
  <cp:keywords/>
  <dc:description/>
  <cp:lastModifiedBy>Vera Kuipers</cp:lastModifiedBy>
  <cp:revision>4</cp:revision>
  <dcterms:created xsi:type="dcterms:W3CDTF">2026-08-31T14:07:00Z</dcterms:created>
  <dcterms:modified xsi:type="dcterms:W3CDTF">2026-09-03T11:36:00Z</dcterms:modified>
</cp:coreProperties>
</file>